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2085720</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ושלוש</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אלעזר שטרן</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פ/106/23</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4ED6C81A" w:rsidR="00E13C27" w:rsidRPr="00F67051" w:rsidRDefault="00A443CF" w:rsidP="00EB66CF">
      <w:pPr>
        <w:pStyle w:val="HeadHatzaotHok"/>
        <w:rPr>
          <w:rtl/>
        </w:rPr>
      </w:pPr>
      <w:bookmarkStart w:id="7" w:name="LGS_Subject"/>
      <w:r>
        <w:rPr>
          <w:rFonts w:hint="cs"/>
          <w:rtl/>
        </w:rPr>
        <w:t>הצעת חוק איסור הונאה בכשרות (תיקון – כשרות לבית אוכל שאינו מחלל שבת), התש"ף–2020</w:t>
      </w:r>
      <w:bookmarkEnd w:id="7"/>
    </w:p>
    <w:tbl>
      <w:tblPr>
        <w:bidiVisual/>
        <w:tblW w:w="9638" w:type="dxa"/>
        <w:tblInd w:w="-8" w:type="dxa"/>
        <w:tblLayout w:type="fixed"/>
        <w:tblCellMar>
          <w:top w:w="57" w:type="dxa"/>
          <w:left w:w="0" w:type="dxa"/>
          <w:bottom w:w="57" w:type="dxa"/>
          <w:right w:w="0" w:type="dxa"/>
        </w:tblCellMar>
        <w:tblLook w:val="0000" w:firstRow="0" w:lastRow="0" w:firstColumn="0" w:lastColumn="0" w:noHBand="0" w:noVBand="0"/>
      </w:tblPr>
      <w:tblGrid>
        <w:gridCol w:w="1869"/>
        <w:gridCol w:w="623"/>
        <w:gridCol w:w="623"/>
        <w:gridCol w:w="6523"/>
      </w:tblGrid>
      <w:tr w:rsidR="00887B56" w14:paraId="67078B9D" w14:textId="77777777" w:rsidTr="001800CF">
        <w:trPr>
          <w:cantSplit/>
        </w:trPr>
        <w:tc>
          <w:tcPr>
            <w:tcW w:w="1869" w:type="dxa"/>
            <w:tcBorders>
              <w:top w:val="nil"/>
              <w:left w:val="nil"/>
              <w:bottom w:val="nil"/>
              <w:right w:val="nil"/>
            </w:tcBorders>
          </w:tcPr>
          <w:p w14:paraId="0E93D46D" w14:textId="77777777" w:rsidR="00887B56" w:rsidRDefault="00887B56" w:rsidP="001800CF">
            <w:pPr>
              <w:pStyle w:val="TableSideHeading"/>
              <w:keepLines w:val="0"/>
            </w:pPr>
            <w:r>
              <w:rPr>
                <w:sz w:val="26"/>
                <w:rtl/>
              </w:rPr>
              <w:t>תיקון סעיף 11</w:t>
            </w:r>
          </w:p>
        </w:tc>
        <w:tc>
          <w:tcPr>
            <w:tcW w:w="623" w:type="dxa"/>
            <w:tcBorders>
              <w:top w:val="nil"/>
              <w:left w:val="nil"/>
              <w:bottom w:val="nil"/>
              <w:right w:val="nil"/>
            </w:tcBorders>
          </w:tcPr>
          <w:p w14:paraId="58491D1C" w14:textId="77777777" w:rsidR="00887B56" w:rsidRDefault="00887B56" w:rsidP="001800CF">
            <w:pPr>
              <w:pStyle w:val="TableText"/>
              <w:keepLines w:val="0"/>
              <w:numPr>
                <w:ilvl w:val="0"/>
                <w:numId w:val="12"/>
              </w:numPr>
            </w:pPr>
          </w:p>
        </w:tc>
        <w:tc>
          <w:tcPr>
            <w:tcW w:w="7146" w:type="dxa"/>
            <w:gridSpan w:val="2"/>
            <w:tcBorders>
              <w:top w:val="nil"/>
              <w:left w:val="nil"/>
              <w:bottom w:val="nil"/>
              <w:right w:val="nil"/>
            </w:tcBorders>
          </w:tcPr>
          <w:p w14:paraId="07EE9645" w14:textId="77777777" w:rsidR="00887B56" w:rsidRDefault="00887B56" w:rsidP="001800CF">
            <w:pPr>
              <w:pStyle w:val="TableBlock"/>
            </w:pPr>
            <w:r>
              <w:rPr>
                <w:sz w:val="26"/>
                <w:rtl/>
              </w:rPr>
              <w:t>בחוק איסור הונאה בכשרות, התשמ"ג–1983</w:t>
            </w:r>
            <w:r>
              <w:rPr>
                <w:rStyle w:val="a6"/>
                <w:sz w:val="26"/>
                <w:rtl/>
              </w:rPr>
              <w:footnoteReference w:id="2"/>
            </w:r>
            <w:r>
              <w:rPr>
                <w:sz w:val="26"/>
                <w:rtl/>
              </w:rPr>
              <w:t xml:space="preserve">, בסעיף 11 – </w:t>
            </w:r>
          </w:p>
        </w:tc>
      </w:tr>
      <w:tr w:rsidR="00887B56" w14:paraId="340D334F" w14:textId="77777777" w:rsidTr="001800CF">
        <w:trPr>
          <w:cantSplit/>
        </w:trPr>
        <w:tc>
          <w:tcPr>
            <w:tcW w:w="1869" w:type="dxa"/>
            <w:tcBorders>
              <w:top w:val="nil"/>
              <w:left w:val="nil"/>
              <w:bottom w:val="nil"/>
              <w:right w:val="nil"/>
            </w:tcBorders>
          </w:tcPr>
          <w:p w14:paraId="2783E8DE" w14:textId="77777777" w:rsidR="00887B56" w:rsidRDefault="00887B56" w:rsidP="001800CF">
            <w:pPr>
              <w:pStyle w:val="TableSideHeading"/>
            </w:pPr>
          </w:p>
        </w:tc>
        <w:tc>
          <w:tcPr>
            <w:tcW w:w="623" w:type="dxa"/>
            <w:tcBorders>
              <w:top w:val="nil"/>
              <w:left w:val="nil"/>
              <w:bottom w:val="nil"/>
              <w:right w:val="nil"/>
            </w:tcBorders>
          </w:tcPr>
          <w:p w14:paraId="0A895688" w14:textId="77777777" w:rsidR="00887B56" w:rsidRDefault="00887B56" w:rsidP="001800CF">
            <w:pPr>
              <w:pStyle w:val="TableText"/>
            </w:pPr>
          </w:p>
        </w:tc>
        <w:tc>
          <w:tcPr>
            <w:tcW w:w="7146" w:type="dxa"/>
            <w:gridSpan w:val="2"/>
            <w:tcBorders>
              <w:top w:val="nil"/>
              <w:left w:val="nil"/>
              <w:bottom w:val="nil"/>
              <w:right w:val="nil"/>
            </w:tcBorders>
          </w:tcPr>
          <w:p w14:paraId="51C956A1" w14:textId="77777777" w:rsidR="00887B56" w:rsidRDefault="00887B56" w:rsidP="001800CF">
            <w:pPr>
              <w:pStyle w:val="TableBlock"/>
            </w:pPr>
            <w:r>
              <w:rPr>
                <w:sz w:val="26"/>
                <w:rtl/>
              </w:rPr>
              <w:t>(1)</w:t>
            </w:r>
            <w:r>
              <w:rPr>
                <w:sz w:val="26"/>
                <w:rtl/>
              </w:rPr>
              <w:tab/>
              <w:t>האמור בו יסומן "(א)", ובו, אחרי "כשרות" יבוא "המזון";</w:t>
            </w:r>
          </w:p>
        </w:tc>
      </w:tr>
      <w:tr w:rsidR="00887B56" w14:paraId="4936794B" w14:textId="77777777" w:rsidTr="001800CF">
        <w:trPr>
          <w:cantSplit/>
        </w:trPr>
        <w:tc>
          <w:tcPr>
            <w:tcW w:w="1869" w:type="dxa"/>
            <w:tcBorders>
              <w:top w:val="nil"/>
              <w:left w:val="nil"/>
              <w:bottom w:val="nil"/>
              <w:right w:val="nil"/>
            </w:tcBorders>
          </w:tcPr>
          <w:p w14:paraId="797628D9" w14:textId="77777777" w:rsidR="00887B56" w:rsidRDefault="00887B56" w:rsidP="001800CF">
            <w:pPr>
              <w:pStyle w:val="TableSideHeading"/>
            </w:pPr>
          </w:p>
        </w:tc>
        <w:tc>
          <w:tcPr>
            <w:tcW w:w="623" w:type="dxa"/>
            <w:tcBorders>
              <w:top w:val="nil"/>
              <w:left w:val="nil"/>
              <w:bottom w:val="nil"/>
              <w:right w:val="nil"/>
            </w:tcBorders>
          </w:tcPr>
          <w:p w14:paraId="450A1427" w14:textId="77777777" w:rsidR="00887B56" w:rsidRDefault="00887B56" w:rsidP="001800CF">
            <w:pPr>
              <w:pStyle w:val="TableText"/>
            </w:pPr>
          </w:p>
        </w:tc>
        <w:tc>
          <w:tcPr>
            <w:tcW w:w="7146" w:type="dxa"/>
            <w:gridSpan w:val="2"/>
            <w:tcBorders>
              <w:top w:val="nil"/>
              <w:left w:val="nil"/>
              <w:bottom w:val="nil"/>
              <w:right w:val="nil"/>
            </w:tcBorders>
          </w:tcPr>
          <w:p w14:paraId="2EB3F7CF" w14:textId="77777777" w:rsidR="00887B56" w:rsidRDefault="00887B56" w:rsidP="001800CF">
            <w:pPr>
              <w:pStyle w:val="TableBlock"/>
              <w:rPr>
                <w:sz w:val="26"/>
              </w:rPr>
            </w:pPr>
            <w:r>
              <w:rPr>
                <w:sz w:val="26"/>
                <w:rtl/>
              </w:rPr>
              <w:t>(2)</w:t>
            </w:r>
            <w:r>
              <w:rPr>
                <w:sz w:val="26"/>
                <w:rtl/>
              </w:rPr>
              <w:tab/>
              <w:t>אחרי סעיף קטן (א) יבוא:</w:t>
            </w:r>
          </w:p>
        </w:tc>
      </w:tr>
      <w:tr w:rsidR="00887B56" w:rsidRPr="00F24FFC" w14:paraId="6443C926" w14:textId="77777777" w:rsidTr="001800CF">
        <w:trPr>
          <w:cantSplit/>
          <w:trHeight w:val="60"/>
        </w:trPr>
        <w:tc>
          <w:tcPr>
            <w:tcW w:w="1869" w:type="dxa"/>
            <w:tcBorders>
              <w:top w:val="nil"/>
              <w:left w:val="nil"/>
              <w:bottom w:val="nil"/>
              <w:right w:val="nil"/>
            </w:tcBorders>
          </w:tcPr>
          <w:p w14:paraId="49D81BD2" w14:textId="77777777" w:rsidR="00887B56" w:rsidRDefault="00887B56" w:rsidP="001800CF">
            <w:pPr>
              <w:pStyle w:val="TableSideHeading"/>
            </w:pPr>
          </w:p>
        </w:tc>
        <w:tc>
          <w:tcPr>
            <w:tcW w:w="623" w:type="dxa"/>
            <w:tcBorders>
              <w:top w:val="nil"/>
              <w:left w:val="nil"/>
              <w:bottom w:val="nil"/>
              <w:right w:val="nil"/>
            </w:tcBorders>
          </w:tcPr>
          <w:p w14:paraId="02B01E82" w14:textId="77777777" w:rsidR="00887B56" w:rsidRDefault="00887B56" w:rsidP="001800CF">
            <w:pPr>
              <w:pStyle w:val="TableText"/>
            </w:pPr>
          </w:p>
        </w:tc>
        <w:tc>
          <w:tcPr>
            <w:tcW w:w="623" w:type="dxa"/>
            <w:tcBorders>
              <w:top w:val="nil"/>
              <w:left w:val="nil"/>
              <w:bottom w:val="nil"/>
              <w:right w:val="nil"/>
            </w:tcBorders>
          </w:tcPr>
          <w:p w14:paraId="398F2530" w14:textId="77777777" w:rsidR="00887B56" w:rsidRDefault="00887B56" w:rsidP="001800CF">
            <w:pPr>
              <w:pStyle w:val="TableText"/>
            </w:pPr>
          </w:p>
        </w:tc>
        <w:tc>
          <w:tcPr>
            <w:tcW w:w="6523" w:type="dxa"/>
            <w:tcBorders>
              <w:top w:val="nil"/>
              <w:left w:val="nil"/>
              <w:bottom w:val="nil"/>
              <w:right w:val="nil"/>
            </w:tcBorders>
          </w:tcPr>
          <w:p w14:paraId="4392729D" w14:textId="77777777" w:rsidR="00887B56" w:rsidRPr="00F24FFC" w:rsidRDefault="00887B56" w:rsidP="001800CF">
            <w:pPr>
              <w:pStyle w:val="TableBlock"/>
              <w:rPr>
                <w:sz w:val="26"/>
              </w:rPr>
            </w:pPr>
            <w:r>
              <w:rPr>
                <w:rFonts w:hint="cs"/>
                <w:sz w:val="26"/>
                <w:rtl/>
              </w:rPr>
              <w:t>"(ב)</w:t>
            </w:r>
            <w:r>
              <w:rPr>
                <w:sz w:val="26"/>
                <w:rtl/>
              </w:rPr>
              <w:tab/>
            </w:r>
            <w:r>
              <w:rPr>
                <w:rFonts w:hint="cs"/>
                <w:sz w:val="26"/>
                <w:rtl/>
              </w:rPr>
              <w:t>ב</w:t>
            </w:r>
            <w:r>
              <w:rPr>
                <w:sz w:val="26"/>
                <w:rtl/>
              </w:rPr>
              <w:t xml:space="preserve">לי לגרוע מהוראות סעיף קטן (א), בבואו לתת תעודת הכשר, נותן הכשרות לא ישקול שיקולים </w:t>
            </w:r>
            <w:r>
              <w:rPr>
                <w:rFonts w:hint="cs"/>
                <w:sz w:val="26"/>
                <w:rtl/>
              </w:rPr>
              <w:t>של</w:t>
            </w:r>
            <w:r>
              <w:rPr>
                <w:sz w:val="26"/>
                <w:rtl/>
              </w:rPr>
              <w:t xml:space="preserve"> פתיחת בית האוכל בשבת או במועדי ישראל</w:t>
            </w:r>
            <w:r>
              <w:rPr>
                <w:rFonts w:hint="cs"/>
                <w:sz w:val="26"/>
                <w:rtl/>
              </w:rPr>
              <w:t>, ובלבד שבית האוכל לא יחלל שבת."</w:t>
            </w:r>
          </w:p>
        </w:tc>
      </w:tr>
    </w:tbl>
    <w:p w14:paraId="7F6961CA" w14:textId="77777777" w:rsidR="002D1EE3" w:rsidRDefault="002D1EE3" w:rsidP="002D1EE3">
      <w:pPr>
        <w:pStyle w:val="HeadDivreiHesber"/>
        <w:rPr>
          <w:rtl/>
        </w:rPr>
      </w:pPr>
      <w:r w:rsidRPr="0027450A">
        <w:rPr>
          <w:rFonts w:hint="cs"/>
          <w:rtl/>
        </w:rPr>
        <w:t>דברי הסבר</w:t>
      </w:r>
    </w:p>
    <w:p w14:paraId="5067DC58" w14:textId="77777777" w:rsidR="001546B5" w:rsidRDefault="001546B5" w:rsidP="00EF4A2F">
      <w:pPr>
        <w:pStyle w:val="Hesber"/>
        <w:spacing w:line="276" w:lineRule="auto"/>
        <w:rPr>
          <w:sz w:val="26"/>
          <w:rtl/>
        </w:rPr>
      </w:pPr>
      <w:r>
        <w:rPr>
          <w:sz w:val="26"/>
          <w:rtl/>
        </w:rPr>
        <w:t>חוק איסור הונאה בכשרות, התשמ"ג–1983, קובע כי "במתן תעודת הכשר יתחשב הרב בדיני הכשרות בלבד". מאחר שהגדרת המונח "דיני כשרות" אינה ברורה, בפועל נמתח הגבול, וכתוצאה מכך, נשקלים שיקולים אשר אינם קשורים לכשרות המזון המוגש או הנמכר במקום, כגון:</w:t>
      </w:r>
      <w:r>
        <w:rPr>
          <w:rFonts w:hint="cs"/>
          <w:sz w:val="26"/>
          <w:rtl/>
        </w:rPr>
        <w:t xml:space="preserve"> </w:t>
      </w:r>
      <w:r>
        <w:rPr>
          <w:sz w:val="26"/>
          <w:rtl/>
        </w:rPr>
        <w:t>הצגת מופעים לא צנועים במקום, עריכת טקסים לא לפי ההלכה היהודית ועוד.</w:t>
      </w:r>
    </w:p>
    <w:p w14:paraId="3B7CFEE0" w14:textId="77777777" w:rsidR="001546B5" w:rsidRPr="00D04281" w:rsidRDefault="001546B5" w:rsidP="00EF4A2F">
      <w:pPr>
        <w:pStyle w:val="Hesber"/>
        <w:spacing w:line="276" w:lineRule="auto"/>
        <w:rPr>
          <w:rFonts w:ascii="Times New Roman" w:hAnsi="Times New Roman"/>
          <w:sz w:val="26"/>
          <w:rtl/>
        </w:rPr>
      </w:pPr>
      <w:r>
        <w:rPr>
          <w:sz w:val="26"/>
          <w:rtl/>
        </w:rPr>
        <w:t>הצעת ה</w:t>
      </w:r>
      <w:r>
        <w:rPr>
          <w:rFonts w:hint="cs"/>
          <w:sz w:val="26"/>
          <w:rtl/>
        </w:rPr>
        <w:t>חוק</w:t>
      </w:r>
      <w:r>
        <w:rPr>
          <w:sz w:val="26"/>
          <w:rtl/>
        </w:rPr>
        <w:t xml:space="preserve"> באה לקבוע כי תעודת ההכשר תינתן לבית אוכל בהתחשב אך ורק במידת כשרותו של המזון, ברוח </w:t>
      </w:r>
      <w:r w:rsidRPr="00DA532B">
        <w:rPr>
          <w:sz w:val="26"/>
          <w:rtl/>
        </w:rPr>
        <w:t xml:space="preserve">פסיקתו של בית המשפט העליון, אשר קבע בבג"ץ 8735/06 </w:t>
      </w:r>
      <w:r w:rsidRPr="00EA44D2">
        <w:rPr>
          <w:rFonts w:ascii="David" w:hAnsi="David" w:hint="eastAsia"/>
          <w:b/>
          <w:bCs/>
          <w:sz w:val="26"/>
          <w:rtl/>
        </w:rPr>
        <w:t>קומפורטי</w:t>
      </w:r>
      <w:r w:rsidRPr="00EA44D2">
        <w:rPr>
          <w:rFonts w:ascii="David" w:hAnsi="David"/>
          <w:b/>
          <w:bCs/>
          <w:sz w:val="26"/>
          <w:rtl/>
        </w:rPr>
        <w:t xml:space="preserve"> </w:t>
      </w:r>
      <w:r w:rsidRPr="00EA44D2">
        <w:rPr>
          <w:rFonts w:ascii="David" w:hAnsi="David" w:hint="eastAsia"/>
          <w:b/>
          <w:bCs/>
          <w:sz w:val="26"/>
          <w:rtl/>
        </w:rPr>
        <w:t>נ</w:t>
      </w:r>
      <w:r w:rsidRPr="00EA44D2">
        <w:rPr>
          <w:rFonts w:ascii="David" w:hAnsi="David"/>
          <w:b/>
          <w:bCs/>
          <w:sz w:val="26"/>
          <w:rtl/>
        </w:rPr>
        <w:t xml:space="preserve">' </w:t>
      </w:r>
      <w:r w:rsidRPr="00EA44D2">
        <w:rPr>
          <w:rFonts w:ascii="David" w:hAnsi="David" w:hint="eastAsia"/>
          <w:b/>
          <w:bCs/>
          <w:sz w:val="26"/>
          <w:rtl/>
        </w:rPr>
        <w:t>מועצת</w:t>
      </w:r>
      <w:r w:rsidRPr="00EA44D2">
        <w:rPr>
          <w:rFonts w:ascii="David" w:hAnsi="David"/>
          <w:b/>
          <w:bCs/>
          <w:sz w:val="26"/>
          <w:rtl/>
        </w:rPr>
        <w:t xml:space="preserve"> </w:t>
      </w:r>
      <w:r w:rsidRPr="00EA44D2">
        <w:rPr>
          <w:rFonts w:ascii="David" w:hAnsi="David" w:hint="eastAsia"/>
          <w:b/>
          <w:bCs/>
          <w:sz w:val="26"/>
          <w:rtl/>
        </w:rPr>
        <w:t>הרבנות</w:t>
      </w:r>
      <w:r w:rsidRPr="00EA44D2">
        <w:rPr>
          <w:rFonts w:ascii="David" w:hAnsi="David"/>
          <w:b/>
          <w:bCs/>
          <w:sz w:val="26"/>
          <w:rtl/>
        </w:rPr>
        <w:t xml:space="preserve"> </w:t>
      </w:r>
      <w:r w:rsidRPr="00EA44D2">
        <w:rPr>
          <w:rFonts w:ascii="David" w:hAnsi="David" w:hint="eastAsia"/>
          <w:b/>
          <w:bCs/>
          <w:sz w:val="26"/>
          <w:rtl/>
        </w:rPr>
        <w:t>הראשית</w:t>
      </w:r>
      <w:r w:rsidRPr="00EA44D2">
        <w:rPr>
          <w:rFonts w:ascii="David" w:hAnsi="David"/>
          <w:b/>
          <w:bCs/>
          <w:sz w:val="26"/>
          <w:rtl/>
        </w:rPr>
        <w:t xml:space="preserve"> </w:t>
      </w:r>
      <w:r w:rsidRPr="00EA44D2">
        <w:rPr>
          <w:rFonts w:ascii="David" w:hAnsi="David" w:hint="eastAsia"/>
          <w:b/>
          <w:bCs/>
          <w:sz w:val="26"/>
          <w:rtl/>
        </w:rPr>
        <w:t>לישראל</w:t>
      </w:r>
      <w:r w:rsidRPr="00EA44D2">
        <w:rPr>
          <w:b/>
          <w:bCs/>
          <w:sz w:val="26"/>
          <w:rtl/>
        </w:rPr>
        <w:t>,</w:t>
      </w:r>
      <w:r>
        <w:rPr>
          <w:sz w:val="26"/>
          <w:rtl/>
        </w:rPr>
        <w:t xml:space="preserve"> כי </w:t>
      </w:r>
      <w:r>
        <w:rPr>
          <w:rFonts w:ascii="Times New Roman" w:hAnsi="Times New Roman"/>
          <w:sz w:val="26"/>
          <w:rtl/>
        </w:rPr>
        <w:t>החלטות מועצת הרבנות הראשית ורב העיר אשדוד להתנות בתנאים, שאינם שייכים לדיני כשרות המזון, את מתן תעודת הכשרות לעסקה של העותרת, התבססו על שיקולים שאינם בגדר הסמכות המוקנית להם ב</w:t>
      </w:r>
      <w:hyperlink r:id="rId11" w:history="1">
        <w:r>
          <w:rPr>
            <w:rFonts w:ascii="Times New Roman" w:hAnsi="Times New Roman"/>
            <w:sz w:val="26"/>
            <w:rtl/>
          </w:rPr>
          <w:t xml:space="preserve">חוק איסור הונאה </w:t>
        </w:r>
      </w:hyperlink>
      <w:r>
        <w:rPr>
          <w:rFonts w:ascii="Times New Roman" w:hAnsi="Times New Roman"/>
          <w:sz w:val="26"/>
          <w:rtl/>
        </w:rPr>
        <w:t>בכשרות</w:t>
      </w:r>
      <w:r w:rsidRPr="00D04281">
        <w:rPr>
          <w:rFonts w:ascii="Times New Roman" w:hAnsi="Times New Roman"/>
          <w:sz w:val="26"/>
          <w:rtl/>
        </w:rPr>
        <w:t xml:space="preserve">. </w:t>
      </w:r>
    </w:p>
    <w:p w14:paraId="454AA839" w14:textId="77777777" w:rsidR="001546B5" w:rsidRPr="00D04281" w:rsidRDefault="001546B5" w:rsidP="00EF4A2F">
      <w:pPr>
        <w:pBdr>
          <w:top w:val="nil"/>
          <w:left w:val="nil"/>
          <w:bottom w:val="nil"/>
          <w:right w:val="nil"/>
          <w:between w:val="nil"/>
        </w:pBdr>
        <w:spacing w:before="0" w:line="276" w:lineRule="auto"/>
        <w:rPr>
          <w:rFonts w:ascii="Times New Roman" w:eastAsia="Arial Unicode MS" w:hAnsi="Times New Roman" w:cs="David"/>
          <w:snapToGrid w:val="0"/>
          <w:spacing w:val="0"/>
          <w:sz w:val="26"/>
          <w:szCs w:val="26"/>
        </w:rPr>
      </w:pPr>
      <w:r w:rsidRPr="00D04281">
        <w:rPr>
          <w:rFonts w:ascii="Times New Roman" w:eastAsia="Arial Unicode MS" w:hAnsi="Times New Roman" w:cs="David"/>
          <w:snapToGrid w:val="0"/>
          <w:spacing w:val="0"/>
          <w:sz w:val="26"/>
          <w:szCs w:val="26"/>
          <w:rtl/>
        </w:rPr>
        <w:t>לגבי פתיחת בית האוכל בשבת, מוצע שבמידה ובית האוכל אינו מחלל שבת, לא תישלל תעודת כשרותו. בדומה להגדרה של מלונות כבתי אוכל, אין סיבה שאוכל שהוכן לפני שבת והוגש במהלך השבת, יפגע בכשרות הניתנת לעסק. כמו כן, מדובר במודל בו פועלות מסעדות ובתי קפה רבים בחו"ל המשרתים אוכלוסייה דתית וחרדית במקומות אלה ללא פגיעה בהלכה ותוך שמירה על כללי כשרות המזון.</w:t>
      </w:r>
    </w:p>
    <w:p w14:paraId="5C246C2C" w14:textId="77777777" w:rsidR="001546B5" w:rsidRDefault="001546B5" w:rsidP="00EF4A2F">
      <w:pPr>
        <w:pBdr>
          <w:top w:val="nil"/>
          <w:left w:val="nil"/>
          <w:bottom w:val="nil"/>
          <w:right w:val="nil"/>
          <w:between w:val="nil"/>
        </w:pBdr>
        <w:spacing w:before="0" w:line="276" w:lineRule="auto"/>
        <w:rPr>
          <w:rFonts w:ascii="Times New Roman" w:eastAsia="Arial Unicode MS" w:hAnsi="Times New Roman" w:cs="David"/>
          <w:snapToGrid w:val="0"/>
          <w:spacing w:val="0"/>
          <w:sz w:val="26"/>
          <w:szCs w:val="26"/>
          <w:rtl/>
        </w:rPr>
      </w:pPr>
      <w:r w:rsidRPr="00D04281">
        <w:rPr>
          <w:rFonts w:ascii="Times New Roman" w:eastAsia="Arial Unicode MS" w:hAnsi="Times New Roman" w:cs="David"/>
          <w:snapToGrid w:val="0"/>
          <w:spacing w:val="0"/>
          <w:sz w:val="26"/>
          <w:szCs w:val="26"/>
          <w:rtl/>
        </w:rPr>
        <w:t>הצעת החוק נוסחה בסיוע תנועת נאמני תורה ועבודה.</w:t>
      </w:r>
    </w:p>
    <w:p w14:paraId="30BB0DC5" w14:textId="45314620" w:rsidR="00EB66CF" w:rsidRDefault="00EB66CF" w:rsidP="00EF4A2F">
      <w:pPr>
        <w:pBdr>
          <w:top w:val="nil"/>
          <w:left w:val="nil"/>
          <w:bottom w:val="nil"/>
          <w:right w:val="nil"/>
          <w:between w:val="nil"/>
        </w:pBdr>
        <w:spacing w:before="0" w:line="276" w:lineRule="auto"/>
        <w:rPr>
          <w:rFonts w:ascii="Times New Roman" w:eastAsia="Arial Unicode MS" w:hAnsi="Times New Roman" w:cs="David"/>
          <w:snapToGrid w:val="0"/>
          <w:spacing w:val="0"/>
          <w:sz w:val="26"/>
          <w:szCs w:val="26"/>
          <w:rtl/>
        </w:rPr>
      </w:pPr>
      <w:r>
        <w:rPr>
          <w:rFonts w:ascii="Times New Roman" w:eastAsia="Arial Unicode MS" w:hAnsi="Times New Roman" w:cs="David" w:hint="cs"/>
          <w:snapToGrid w:val="0"/>
          <w:spacing w:val="0"/>
          <w:sz w:val="26"/>
          <w:szCs w:val="26"/>
          <w:rtl/>
        </w:rPr>
        <w:t>הצעת חוק זהה הונחה על שולחן הכנסת העשרים ושתיים על ידי חבר הכנסת אלעזר שטרן (פ/69/22).</w:t>
      </w:r>
    </w:p>
    <w:p w14:paraId="11B6036E" w14:textId="728C086F" w:rsidR="00EB66CF" w:rsidRDefault="00EB66CF" w:rsidP="00EF4A2F">
      <w:pPr>
        <w:pBdr>
          <w:top w:val="nil"/>
          <w:left w:val="nil"/>
          <w:bottom w:val="nil"/>
          <w:right w:val="nil"/>
          <w:between w:val="nil"/>
        </w:pBdr>
        <w:spacing w:before="0" w:line="276" w:lineRule="auto"/>
        <w:rPr>
          <w:rFonts w:ascii="Times New Roman" w:eastAsia="Arial Unicode MS" w:hAnsi="Times New Roman" w:cs="David"/>
          <w:snapToGrid w:val="0"/>
          <w:spacing w:val="0"/>
          <w:sz w:val="26"/>
          <w:szCs w:val="26"/>
          <w:rtl/>
        </w:rPr>
      </w:pPr>
      <w:r w:rsidRPr="00EB66CF">
        <w:rPr>
          <w:rFonts w:ascii="Times New Roman" w:eastAsia="Arial Unicode MS" w:hAnsi="Times New Roman" w:cs="David"/>
          <w:snapToGrid w:val="0"/>
          <w:spacing w:val="0"/>
          <w:sz w:val="26"/>
          <w:szCs w:val="26"/>
          <w:rtl/>
        </w:rPr>
        <w:t>הצעות חוק דומות בעיקרן הונחו על שולחן הכנסת העשרים על ידי חבר הכנסת אלעזר שטרן (פ/2256/20; הוסרה מסדר היום ביום י"ז בשבט התשע"ו (27 בינואר 2016); פ/3411/20), ועל ידי חברת הכנסת עליזה לביא וקבוצת חברי הכנסת (פ/2033/20).</w:t>
      </w:r>
    </w:p>
    <w:p w14:paraId="102085EE" w14:textId="77777777" w:rsidR="00EF4A2F" w:rsidRPr="00A83796" w:rsidRDefault="00EF4A2F" w:rsidP="00EF4A2F">
      <w:pPr>
        <w:pStyle w:val="Hesber"/>
        <w:spacing w:line="240" w:lineRule="auto"/>
        <w:rPr>
          <w:rtl/>
        </w:rPr>
      </w:pPr>
      <w:r w:rsidRPr="00A83796">
        <w:rPr>
          <w:rtl/>
        </w:rPr>
        <w:t>---------------------------------</w:t>
      </w:r>
    </w:p>
    <w:p w14:paraId="4ABEC1E5" w14:textId="77777777" w:rsidR="00EF4A2F" w:rsidRPr="00A83796" w:rsidRDefault="00EF4A2F" w:rsidP="00EF4A2F">
      <w:pPr>
        <w:pStyle w:val="Hesber"/>
        <w:spacing w:line="240" w:lineRule="auto"/>
        <w:rPr>
          <w:rtl/>
        </w:rPr>
      </w:pPr>
      <w:r w:rsidRPr="00A83796">
        <w:rPr>
          <w:rFonts w:hint="cs"/>
          <w:rtl/>
        </w:rPr>
        <w:t>הוגשה</w:t>
      </w:r>
      <w:r w:rsidRPr="00A83796">
        <w:rPr>
          <w:rtl/>
        </w:rPr>
        <w:t xml:space="preserve"> </w:t>
      </w:r>
      <w:r w:rsidRPr="00A83796">
        <w:rPr>
          <w:rFonts w:hint="cs"/>
          <w:rtl/>
        </w:rPr>
        <w:t>ליו</w:t>
      </w:r>
      <w:r w:rsidRPr="00A83796">
        <w:rPr>
          <w:rtl/>
        </w:rPr>
        <w:t>"</w:t>
      </w:r>
      <w:r w:rsidRPr="00A83796">
        <w:rPr>
          <w:rFonts w:hint="cs"/>
          <w:rtl/>
        </w:rPr>
        <w:t>ר</w:t>
      </w:r>
      <w:r w:rsidRPr="00A83796">
        <w:rPr>
          <w:rtl/>
        </w:rPr>
        <w:t xml:space="preserve"> </w:t>
      </w:r>
      <w:r w:rsidRPr="00A83796">
        <w:rPr>
          <w:rFonts w:hint="cs"/>
          <w:rtl/>
        </w:rPr>
        <w:t>הכנסת</w:t>
      </w:r>
      <w:r w:rsidRPr="00A83796">
        <w:rPr>
          <w:rtl/>
        </w:rPr>
        <w:t xml:space="preserve"> </w:t>
      </w:r>
      <w:r w:rsidRPr="00A83796">
        <w:rPr>
          <w:rFonts w:hint="cs"/>
          <w:rtl/>
        </w:rPr>
        <w:t>והסגנים</w:t>
      </w:r>
    </w:p>
    <w:p w14:paraId="13213E25" w14:textId="77777777" w:rsidR="00EF4A2F" w:rsidRPr="00A83796" w:rsidRDefault="00EF4A2F" w:rsidP="00EF4A2F">
      <w:pPr>
        <w:pStyle w:val="Hesber"/>
        <w:spacing w:line="240" w:lineRule="auto"/>
        <w:rPr>
          <w:rtl/>
        </w:rPr>
      </w:pPr>
      <w:r w:rsidRPr="00A83796">
        <w:rPr>
          <w:rFonts w:hint="cs"/>
          <w:rtl/>
        </w:rPr>
        <w:t>והונחה</w:t>
      </w:r>
      <w:r w:rsidRPr="00A83796">
        <w:rPr>
          <w:rtl/>
        </w:rPr>
        <w:t xml:space="preserve"> </w:t>
      </w:r>
      <w:r w:rsidRPr="00A83796">
        <w:rPr>
          <w:rFonts w:hint="cs"/>
          <w:rtl/>
        </w:rPr>
        <w:t>על</w:t>
      </w:r>
      <w:r w:rsidRPr="00A83796">
        <w:rPr>
          <w:rtl/>
        </w:rPr>
        <w:t xml:space="preserve"> </w:t>
      </w:r>
      <w:r w:rsidRPr="00A83796">
        <w:rPr>
          <w:rFonts w:hint="cs"/>
          <w:rtl/>
        </w:rPr>
        <w:t>שולחן</w:t>
      </w:r>
      <w:r w:rsidRPr="00A83796">
        <w:rPr>
          <w:rtl/>
        </w:rPr>
        <w:t xml:space="preserve"> </w:t>
      </w:r>
      <w:r w:rsidRPr="00A83796">
        <w:rPr>
          <w:rFonts w:hint="cs"/>
          <w:rtl/>
        </w:rPr>
        <w:t>הכנסת</w:t>
      </w:r>
      <w:r w:rsidRPr="00A83796">
        <w:rPr>
          <w:rtl/>
        </w:rPr>
        <w:t xml:space="preserve"> </w:t>
      </w:r>
      <w:r w:rsidRPr="00A83796">
        <w:rPr>
          <w:rFonts w:hint="cs"/>
          <w:rtl/>
        </w:rPr>
        <w:t>ביום</w:t>
      </w:r>
    </w:p>
    <w:p w14:paraId="012C76F9" w14:textId="15B0C3B2" w:rsidR="00EF4A2F" w:rsidRPr="00EB66CF" w:rsidRDefault="00BC1E0A" w:rsidP="00EF4A2F">
      <w:pPr>
        <w:pStyle w:val="Hesber"/>
        <w:spacing w:line="240" w:lineRule="auto"/>
        <w:rPr>
          <w:rFonts w:ascii="Times New Roman" w:hAnsi="Times New Roman"/>
          <w:sz w:val="26"/>
        </w:rPr>
      </w:pPr>
      <w:r>
        <w:rPr>
          <w:rtl/>
        </w:rPr>
        <w:t>כ"ו בניסן התש"ף – 20.4.20</w:t>
      </w:r>
      <w:bookmarkStart w:id="8" w:name="_GoBack"/>
      <w:bookmarkEnd w:id="8"/>
    </w:p>
    <w:sectPr w:rsidR="00EF4A2F" w:rsidRPr="00EB66CF" w:rsidSect="00EF4A2F">
      <w:footerReference w:type="even" r:id="rId12"/>
      <w:footerReference w:type="default" r:id="rId13"/>
      <w:pgSz w:w="11907" w:h="16840" w:code="9"/>
      <w:pgMar w:top="1134" w:right="1134" w:bottom="851" w:left="1134" w:header="680" w:footer="680" w:gutter="0"/>
      <w:cols w:space="720"/>
      <w:noEndnote/>
      <w:titlePg/>
      <w:bidi/>
      <w:rtlGutter/>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7" w14:textId="7B760C01"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EF4A2F">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1788A806" w14:textId="77777777" w:rsidR="00887B56" w:rsidRDefault="00887B56" w:rsidP="00887B56">
      <w:pPr>
        <w:pStyle w:val="a4"/>
      </w:pPr>
      <w:r>
        <w:rPr>
          <w:rStyle w:val="a6"/>
        </w:rPr>
        <w:footnoteRef/>
      </w:r>
      <w:r>
        <w:rPr>
          <w:sz w:val="20"/>
          <w:rtl/>
        </w:rPr>
        <w:t xml:space="preserve"> ס"ח התשמ"ג, עמ' 128.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546B5"/>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87B56"/>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1E0A"/>
    <w:rsid w:val="00BC45FB"/>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B66CF"/>
    <w:rsid w:val="00ED4A6F"/>
    <w:rsid w:val="00EF3A3A"/>
    <w:rsid w:val="00EF4A2F"/>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162752E9-E3E3-4F48-A66C-F27925B7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6CF"/>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uiPriority w:val="99"/>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uiPriority w:val="99"/>
    <w:rsid w:val="00B975AD"/>
  </w:style>
  <w:style w:type="paragraph" w:customStyle="1" w:styleId="TableBlock">
    <w:name w:val="Table Block"/>
    <w:basedOn w:val="TableText"/>
    <w:uiPriority w:val="99"/>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link w:val="a4"/>
    <w:uiPriority w:val="99"/>
    <w:rsid w:val="001546B5"/>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748227">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vo.co.il/law_html/law01/192_001.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3D6E9C754E1F7C4C891E9EE2E0AF8150" ma:contentTypeVersion="" ma:contentTypeDescription="צור מסמך חדש." ma:contentTypeScope="" ma:versionID="b2c52f23e7867aea476dda019525fa93">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1E155-B27F-4909-AC90-6E77E30CD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897CFBCB-4AEC-4433-A286-37C42933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362</Words>
  <Characters>1811</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רשומות</vt:lpstr>
      <vt:lpstr>רשומות</vt:lpstr>
    </vt:vector>
  </TitlesOfParts>
  <Company>Knesset</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דפנה ברנאי</cp:lastModifiedBy>
  <cp:revision>8</cp:revision>
  <cp:lastPrinted>2013-07-04T08:25:00Z</cp:lastPrinted>
  <dcterms:created xsi:type="dcterms:W3CDTF">2015-04-20T09:58:00Z</dcterms:created>
  <dcterms:modified xsi:type="dcterms:W3CDTF">2020-04-19T08:16:00Z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0x0101003D6E9C754E1F7C4C891E9EE2E0AF8150</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2085720</vt:r8>
  </property>
</Properties>
</file>