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bookmarkStart w:id="0" w:name="_GoBack"/>
      <w:bookmarkEnd w:id="0"/>
      <w:r w:rsidRPr="00E635A2">
        <w:rPr>
          <w:rFonts w:cs="David" w:hint="cs"/>
          <w:sz w:val="20"/>
          <w:szCs w:val="20"/>
          <w:rtl/>
        </w:rPr>
        <w:t xml:space="preserve">מספר פנימי: </w:t>
      </w:r>
      <w:bookmarkStart w:id="1" w:name="LGS_Internal_ID"/>
      <w:r>
        <w:rPr>
          <w:rFonts w:cs="David" w:hint="cs"/>
          <w:sz w:val="20"/>
          <w:szCs w:val="20"/>
          <w:rtl/>
        </w:rPr>
        <w:t>2143360</w:t>
      </w:r>
      <w:bookmarkEnd w:id="1"/>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 ושלוש</w:t>
      </w:r>
      <w:bookmarkEnd w:id="2"/>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3" w:name="LGS_Initiators_List"/>
      <w:r>
        <w:rPr>
          <w:b/>
          <w:bCs/>
          <w:rtl/>
        </w:rPr>
        <w:t>יוזמת:</w:t>
      </w:r>
      <w:r>
        <w:tab/>
      </w:r>
      <w:r>
        <w:rPr>
          <w:b/>
          <w:bCs/>
          <w:rtl/>
        </w:rPr>
        <w:t xml:space="preserve">      חברת הכנסת</w:t>
      </w:r>
      <w:bookmarkEnd w:id="3"/>
      <w:r w:rsidR="00B35784" w:rsidRPr="00F67051">
        <w:rPr>
          <w:b/>
          <w:bCs/>
        </w:rPr>
        <w:tab/>
      </w:r>
      <w:bookmarkStart w:id="4" w:name="LGS_PM_Names"/>
      <w:r>
        <w:rPr>
          <w:rFonts w:hint="cs"/>
          <w:b/>
          <w:bCs/>
          <w:rtl/>
        </w:rPr>
        <w:t>תהלה פרידמן</w:t>
      </w:r>
      <w:bookmarkEnd w:id="4"/>
    </w:p>
    <w:p w14:paraId="34DB4103" w14:textId="77B334E0"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C948F2">
        <w:rPr>
          <w:rtl/>
        </w:rPr>
        <w:tab/>
      </w:r>
      <w:r w:rsidR="00C948F2">
        <w:rPr>
          <w:rtl/>
        </w:rPr>
        <w:tab/>
      </w:r>
      <w:r w:rsidR="00C948F2">
        <w:rPr>
          <w:rtl/>
        </w:rPr>
        <w:tab/>
      </w:r>
      <w:r w:rsidR="00C948F2">
        <w:rPr>
          <w:rtl/>
        </w:rPr>
        <w:tab/>
      </w:r>
      <w:r w:rsidR="00C948F2">
        <w:rPr>
          <w:rFonts w:hint="cs"/>
          <w:rtl/>
        </w:rPr>
        <w:t>פ/2236/23</w:t>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603EE94" w14:textId="5E1C4FDB" w:rsidR="006F6285" w:rsidRDefault="00A443CF" w:rsidP="00870DA1">
      <w:pPr>
        <w:pStyle w:val="HeadHatzaotHok"/>
        <w:rPr>
          <w:rtl/>
        </w:rPr>
      </w:pPr>
      <w:bookmarkStart w:id="5" w:name="LGS_Subject"/>
      <w:r>
        <w:rPr>
          <w:rFonts w:hint="cs"/>
          <w:rtl/>
        </w:rPr>
        <w:t xml:space="preserve">הצעת חוק שבת יום המנוחה, </w:t>
      </w:r>
      <w:proofErr w:type="spellStart"/>
      <w:r>
        <w:rPr>
          <w:rFonts w:hint="cs"/>
          <w:rtl/>
        </w:rPr>
        <w:t>התש</w:t>
      </w:r>
      <w:r w:rsidR="006F6285">
        <w:rPr>
          <w:rFonts w:hint="cs"/>
          <w:rtl/>
        </w:rPr>
        <w:t>פ</w:t>
      </w:r>
      <w:r>
        <w:rPr>
          <w:rFonts w:hint="cs"/>
          <w:rtl/>
        </w:rPr>
        <w:t>"</w:t>
      </w:r>
      <w:r w:rsidR="006F6285">
        <w:rPr>
          <w:rFonts w:hint="cs"/>
          <w:rtl/>
        </w:rPr>
        <w:t>א</w:t>
      </w:r>
      <w:proofErr w:type="spellEnd"/>
      <w:r>
        <w:rPr>
          <w:rFonts w:hint="cs"/>
          <w:rtl/>
        </w:rPr>
        <w:t>–2020</w:t>
      </w:r>
      <w:bookmarkEnd w:id="5"/>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0"/>
        <w:gridCol w:w="624"/>
        <w:gridCol w:w="624"/>
        <w:gridCol w:w="6520"/>
      </w:tblGrid>
      <w:tr w:rsidR="006F6285" w14:paraId="3108ED8A" w14:textId="77777777" w:rsidTr="00F95DC8">
        <w:trPr>
          <w:cantSplit/>
        </w:trPr>
        <w:tc>
          <w:tcPr>
            <w:tcW w:w="1870" w:type="dxa"/>
          </w:tcPr>
          <w:p w14:paraId="0FE493C9" w14:textId="77777777" w:rsidR="006F6285" w:rsidRDefault="006F6285" w:rsidP="00F95DC8">
            <w:pPr>
              <w:pStyle w:val="TableSideHeading"/>
              <w:keepLines w:val="0"/>
            </w:pPr>
            <w:r>
              <w:rPr>
                <w:sz w:val="26"/>
                <w:rtl/>
              </w:rPr>
              <w:t>הגדרות</w:t>
            </w:r>
          </w:p>
        </w:tc>
        <w:tc>
          <w:tcPr>
            <w:tcW w:w="624" w:type="dxa"/>
          </w:tcPr>
          <w:p w14:paraId="4F064EC6" w14:textId="77777777" w:rsidR="006F6285" w:rsidRDefault="006F6285" w:rsidP="00F95DC8">
            <w:pPr>
              <w:pStyle w:val="TableText"/>
              <w:keepLines w:val="0"/>
            </w:pPr>
            <w:r>
              <w:rPr>
                <w:rtl/>
              </w:rPr>
              <w:t xml:space="preserve">1. </w:t>
            </w:r>
          </w:p>
        </w:tc>
        <w:tc>
          <w:tcPr>
            <w:tcW w:w="7144" w:type="dxa"/>
            <w:gridSpan w:val="2"/>
          </w:tcPr>
          <w:p w14:paraId="4008EA15" w14:textId="77777777" w:rsidR="006F6285" w:rsidRDefault="006F6285" w:rsidP="00F95DC8">
            <w:pPr>
              <w:pStyle w:val="TableBlock"/>
            </w:pPr>
            <w:r>
              <w:rPr>
                <w:sz w:val="26"/>
                <w:rtl/>
              </w:rPr>
              <w:t xml:space="preserve">בחוק זה – </w:t>
            </w:r>
          </w:p>
        </w:tc>
      </w:tr>
      <w:tr w:rsidR="006F6285" w:rsidRPr="0008420C" w14:paraId="10260184" w14:textId="77777777" w:rsidTr="00F95DC8">
        <w:trPr>
          <w:cantSplit/>
        </w:trPr>
        <w:tc>
          <w:tcPr>
            <w:tcW w:w="1870" w:type="dxa"/>
          </w:tcPr>
          <w:p w14:paraId="3E8D8CAB" w14:textId="77777777" w:rsidR="006F6285" w:rsidRDefault="006F6285" w:rsidP="00F95DC8">
            <w:pPr>
              <w:pStyle w:val="TableSideHeading"/>
              <w:keepLines w:val="0"/>
            </w:pPr>
          </w:p>
        </w:tc>
        <w:tc>
          <w:tcPr>
            <w:tcW w:w="624" w:type="dxa"/>
          </w:tcPr>
          <w:p w14:paraId="575A452D" w14:textId="77777777" w:rsidR="006F6285" w:rsidRDefault="006F6285" w:rsidP="00F95DC8">
            <w:pPr>
              <w:pStyle w:val="TableText"/>
              <w:keepLines w:val="0"/>
            </w:pPr>
          </w:p>
        </w:tc>
        <w:tc>
          <w:tcPr>
            <w:tcW w:w="7144" w:type="dxa"/>
            <w:gridSpan w:val="2"/>
          </w:tcPr>
          <w:p w14:paraId="3D1CAD02" w14:textId="77777777" w:rsidR="006F6285" w:rsidRPr="0008420C" w:rsidRDefault="006F6285" w:rsidP="00F95DC8">
            <w:pPr>
              <w:pStyle w:val="TableBlockOutdent"/>
              <w:rPr>
                <w:rtl/>
              </w:rPr>
            </w:pPr>
            <w:r>
              <w:rPr>
                <w:rtl/>
              </w:rPr>
              <w:t>"</w:t>
            </w:r>
            <w:r>
              <w:rPr>
                <w:rFonts w:hint="cs"/>
                <w:rtl/>
              </w:rPr>
              <w:t>חוק שעות עבודה ומנוחה</w:t>
            </w:r>
            <w:r w:rsidRPr="0008420C">
              <w:rPr>
                <w:rtl/>
              </w:rPr>
              <w:t xml:space="preserve">" – </w:t>
            </w:r>
            <w:r w:rsidRPr="006E67E2">
              <w:rPr>
                <w:rtl/>
              </w:rPr>
              <w:t xml:space="preserve">חוק שעות עבודה ומנוחה, </w:t>
            </w:r>
            <w:proofErr w:type="spellStart"/>
            <w:r w:rsidRPr="006E67E2">
              <w:rPr>
                <w:rtl/>
              </w:rPr>
              <w:t>התשי"א</w:t>
            </w:r>
            <w:proofErr w:type="spellEnd"/>
            <w:r w:rsidRPr="006E67E2">
              <w:rPr>
                <w:rtl/>
              </w:rPr>
              <w:t>–1951</w:t>
            </w:r>
            <w:r w:rsidRPr="006E67E2">
              <w:rPr>
                <w:vertAlign w:val="superscript"/>
                <w:rtl/>
              </w:rPr>
              <w:footnoteReference w:id="2"/>
            </w:r>
            <w:r>
              <w:rPr>
                <w:rFonts w:hint="cs"/>
                <w:rtl/>
              </w:rPr>
              <w:t>;</w:t>
            </w:r>
          </w:p>
        </w:tc>
      </w:tr>
      <w:tr w:rsidR="006F6285" w:rsidRPr="0008420C" w14:paraId="18232AAC" w14:textId="77777777" w:rsidTr="00F95DC8">
        <w:trPr>
          <w:cantSplit/>
        </w:trPr>
        <w:tc>
          <w:tcPr>
            <w:tcW w:w="1870" w:type="dxa"/>
          </w:tcPr>
          <w:p w14:paraId="1D14EBFD" w14:textId="77777777" w:rsidR="006F6285" w:rsidRDefault="006F6285" w:rsidP="00F95DC8">
            <w:pPr>
              <w:pStyle w:val="TableSideHeading"/>
              <w:keepLines w:val="0"/>
            </w:pPr>
          </w:p>
        </w:tc>
        <w:tc>
          <w:tcPr>
            <w:tcW w:w="624" w:type="dxa"/>
          </w:tcPr>
          <w:p w14:paraId="46AE03E1" w14:textId="77777777" w:rsidR="006F6285" w:rsidRDefault="006F6285" w:rsidP="00F95DC8">
            <w:pPr>
              <w:pStyle w:val="TableText"/>
              <w:keepLines w:val="0"/>
            </w:pPr>
          </w:p>
        </w:tc>
        <w:tc>
          <w:tcPr>
            <w:tcW w:w="7144" w:type="dxa"/>
            <w:gridSpan w:val="2"/>
          </w:tcPr>
          <w:p w14:paraId="1CD7A6B5" w14:textId="77777777" w:rsidR="006F6285" w:rsidRPr="0008420C" w:rsidRDefault="006F6285" w:rsidP="00F95DC8">
            <w:pPr>
              <w:pStyle w:val="TableBlockOutdent"/>
            </w:pPr>
            <w:r w:rsidRPr="0008420C">
              <w:rPr>
                <w:rtl/>
              </w:rPr>
              <w:t xml:space="preserve">"שבת" </w:t>
            </w:r>
            <w:r>
              <w:rPr>
                <w:rFonts w:hint="eastAsia"/>
                <w:rtl/>
              </w:rPr>
              <w:t xml:space="preserve">– </w:t>
            </w:r>
            <w:r>
              <w:rPr>
                <w:rFonts w:hint="cs"/>
                <w:rtl/>
              </w:rPr>
              <w:t xml:space="preserve">הזמן </w:t>
            </w:r>
            <w:r w:rsidRPr="0008420C">
              <w:rPr>
                <w:rtl/>
              </w:rPr>
              <w:t xml:space="preserve">משעת כניסת השבת, </w:t>
            </w:r>
            <w:r>
              <w:rPr>
                <w:rFonts w:hint="cs"/>
                <w:rtl/>
              </w:rPr>
              <w:t xml:space="preserve">עם </w:t>
            </w:r>
            <w:r w:rsidRPr="0008420C">
              <w:rPr>
                <w:rtl/>
              </w:rPr>
              <w:t>שקיעת החמה ביום שישי, ועד צאתה, בצאת הכוכבים ביום השבת והכול על פי לוח הזמנים שיפורסם על ידי הרבנות הראשית לישראל.</w:t>
            </w:r>
          </w:p>
        </w:tc>
      </w:tr>
      <w:tr w:rsidR="006F6285" w14:paraId="076B2D83" w14:textId="77777777" w:rsidTr="00F95DC8">
        <w:trPr>
          <w:cantSplit/>
        </w:trPr>
        <w:tc>
          <w:tcPr>
            <w:tcW w:w="1870" w:type="dxa"/>
          </w:tcPr>
          <w:p w14:paraId="1828D5D0" w14:textId="77777777" w:rsidR="006F6285" w:rsidRDefault="006F6285" w:rsidP="00F95DC8">
            <w:pPr>
              <w:pStyle w:val="TableSideHeading"/>
              <w:keepLines w:val="0"/>
            </w:pPr>
            <w:r>
              <w:rPr>
                <w:sz w:val="26"/>
                <w:rtl/>
              </w:rPr>
              <w:t xml:space="preserve">השבת </w:t>
            </w:r>
            <w:r>
              <w:rPr>
                <w:rFonts w:hint="cs"/>
                <w:sz w:val="26"/>
                <w:rtl/>
              </w:rPr>
              <w:t xml:space="preserve"> - </w:t>
            </w:r>
            <w:r>
              <w:rPr>
                <w:sz w:val="26"/>
                <w:rtl/>
              </w:rPr>
              <w:t xml:space="preserve">יום </w:t>
            </w:r>
            <w:r>
              <w:rPr>
                <w:rFonts w:hint="cs"/>
                <w:sz w:val="26"/>
                <w:rtl/>
              </w:rPr>
              <w:t>ה</w:t>
            </w:r>
            <w:r>
              <w:rPr>
                <w:sz w:val="26"/>
                <w:rtl/>
              </w:rPr>
              <w:t>מנוחה</w:t>
            </w:r>
          </w:p>
        </w:tc>
        <w:tc>
          <w:tcPr>
            <w:tcW w:w="624" w:type="dxa"/>
          </w:tcPr>
          <w:p w14:paraId="719F516B" w14:textId="77777777" w:rsidR="006F6285" w:rsidRDefault="006F6285" w:rsidP="00F95DC8">
            <w:pPr>
              <w:pStyle w:val="TableText"/>
              <w:keepLines w:val="0"/>
            </w:pPr>
            <w:r>
              <w:rPr>
                <w:rtl/>
              </w:rPr>
              <w:t xml:space="preserve">2. </w:t>
            </w:r>
          </w:p>
        </w:tc>
        <w:tc>
          <w:tcPr>
            <w:tcW w:w="7144" w:type="dxa"/>
            <w:gridSpan w:val="2"/>
          </w:tcPr>
          <w:p w14:paraId="0803734E" w14:textId="77777777" w:rsidR="006F6285" w:rsidRDefault="006F6285" w:rsidP="00F95DC8">
            <w:pPr>
              <w:pStyle w:val="TableBlock"/>
            </w:pPr>
            <w:r>
              <w:rPr>
                <w:sz w:val="26"/>
                <w:rtl/>
              </w:rPr>
              <w:t>השבת היא יום המנוחה הממלכתי במדינת ישראל.</w:t>
            </w:r>
          </w:p>
        </w:tc>
      </w:tr>
      <w:tr w:rsidR="006F6285" w14:paraId="7DAA3BCA" w14:textId="77777777" w:rsidTr="00F95DC8">
        <w:trPr>
          <w:cantSplit/>
        </w:trPr>
        <w:tc>
          <w:tcPr>
            <w:tcW w:w="1870" w:type="dxa"/>
          </w:tcPr>
          <w:p w14:paraId="35BDBA94" w14:textId="77777777" w:rsidR="006F6285" w:rsidRDefault="006F6285" w:rsidP="00F95DC8">
            <w:pPr>
              <w:pStyle w:val="TableSideHeading"/>
              <w:keepLines w:val="0"/>
            </w:pPr>
            <w:r>
              <w:rPr>
                <w:sz w:val="26"/>
                <w:rtl/>
              </w:rPr>
              <w:t>הזכות לשבות בשבת</w:t>
            </w:r>
          </w:p>
        </w:tc>
        <w:tc>
          <w:tcPr>
            <w:tcW w:w="624" w:type="dxa"/>
          </w:tcPr>
          <w:p w14:paraId="4AAB9E40" w14:textId="77777777" w:rsidR="006F6285" w:rsidRDefault="006F6285" w:rsidP="00F95DC8">
            <w:pPr>
              <w:pStyle w:val="TableText"/>
              <w:keepLines w:val="0"/>
            </w:pPr>
            <w:r>
              <w:rPr>
                <w:rtl/>
              </w:rPr>
              <w:t xml:space="preserve">3. </w:t>
            </w:r>
          </w:p>
        </w:tc>
        <w:tc>
          <w:tcPr>
            <w:tcW w:w="7144" w:type="dxa"/>
            <w:gridSpan w:val="2"/>
          </w:tcPr>
          <w:p w14:paraId="34E2D8F7" w14:textId="77777777" w:rsidR="006F6285" w:rsidRDefault="006F6285" w:rsidP="00F95DC8">
            <w:pPr>
              <w:pStyle w:val="TableBlock"/>
            </w:pPr>
            <w:r>
              <w:rPr>
                <w:rtl/>
              </w:rPr>
              <w:t>(א)</w:t>
            </w:r>
            <w:r>
              <w:rPr>
                <w:rtl/>
              </w:rPr>
              <w:tab/>
              <w:t xml:space="preserve">אין לפגוע בזכותו של עובד יהודי לשבות </w:t>
            </w:r>
            <w:r>
              <w:rPr>
                <w:rFonts w:hint="cs"/>
                <w:rtl/>
              </w:rPr>
              <w:t xml:space="preserve">מעבודה </w:t>
            </w:r>
            <w:r>
              <w:rPr>
                <w:rtl/>
              </w:rPr>
              <w:t xml:space="preserve">בשבת ובזכותו של עובד שאינו יהודי לשבות </w:t>
            </w:r>
            <w:r>
              <w:rPr>
                <w:rFonts w:hint="cs"/>
                <w:rtl/>
              </w:rPr>
              <w:t xml:space="preserve">מעבודה </w:t>
            </w:r>
            <w:r>
              <w:rPr>
                <w:rtl/>
              </w:rPr>
              <w:t>ביום המנוחה הדתי שלו או ביום השבת</w:t>
            </w:r>
            <w:r w:rsidRPr="00662626">
              <w:rPr>
                <w:rtl/>
              </w:rPr>
              <w:t>, אלא על פי האמור בחוק זה</w:t>
            </w:r>
            <w:r>
              <w:rPr>
                <w:rtl/>
              </w:rPr>
              <w:t>.</w:t>
            </w:r>
          </w:p>
        </w:tc>
      </w:tr>
      <w:tr w:rsidR="006F6285" w:rsidRPr="008451D1" w14:paraId="607D55BD" w14:textId="77777777" w:rsidTr="00F95DC8">
        <w:trPr>
          <w:cantSplit/>
        </w:trPr>
        <w:tc>
          <w:tcPr>
            <w:tcW w:w="1870" w:type="dxa"/>
          </w:tcPr>
          <w:p w14:paraId="06C4C034" w14:textId="77777777" w:rsidR="006F6285" w:rsidRDefault="006F6285" w:rsidP="00F95DC8">
            <w:pPr>
              <w:pStyle w:val="TableSideHeading"/>
              <w:keepLines w:val="0"/>
            </w:pPr>
          </w:p>
        </w:tc>
        <w:tc>
          <w:tcPr>
            <w:tcW w:w="624" w:type="dxa"/>
          </w:tcPr>
          <w:p w14:paraId="450E3C45" w14:textId="77777777" w:rsidR="006F6285" w:rsidRDefault="006F6285" w:rsidP="00F95DC8">
            <w:pPr>
              <w:pStyle w:val="TableText"/>
              <w:keepLines w:val="0"/>
            </w:pPr>
          </w:p>
        </w:tc>
        <w:tc>
          <w:tcPr>
            <w:tcW w:w="7144" w:type="dxa"/>
            <w:gridSpan w:val="2"/>
          </w:tcPr>
          <w:p w14:paraId="4E2AF171" w14:textId="77777777" w:rsidR="006F6285" w:rsidRPr="008451D1" w:rsidRDefault="006F6285" w:rsidP="00F95DC8">
            <w:pPr>
              <w:pStyle w:val="TableBlock"/>
            </w:pPr>
            <w:r w:rsidRPr="008451D1">
              <w:rPr>
                <w:rtl/>
              </w:rPr>
              <w:t>(ב)</w:t>
            </w:r>
            <w:r w:rsidRPr="008451D1">
              <w:rPr>
                <w:rtl/>
              </w:rPr>
              <w:tab/>
              <w:t xml:space="preserve">אין להפלות אדם שבחר שלא לעבוד בשבת או ביום המנוחה הדתי שלו בשום עניין, לרבות העניינים המנויים בסעיף 2 לחוק שוויון ההזדמנויות בעבודה, </w:t>
            </w:r>
            <w:proofErr w:type="spellStart"/>
            <w:r w:rsidRPr="008451D1">
              <w:rPr>
                <w:rtl/>
              </w:rPr>
              <w:t>התשמ"ח</w:t>
            </w:r>
            <w:proofErr w:type="spellEnd"/>
            <w:r w:rsidRPr="008451D1">
              <w:rPr>
                <w:rtl/>
              </w:rPr>
              <w:t>–1988</w:t>
            </w:r>
            <w:r w:rsidRPr="00C948F2">
              <w:rPr>
                <w:vertAlign w:val="superscript"/>
                <w:rtl/>
              </w:rPr>
              <w:footnoteReference w:id="3"/>
            </w:r>
            <w:r>
              <w:rPr>
                <w:rtl/>
              </w:rPr>
              <w:t xml:space="preserve"> ובסעיפים 9ג עד 9ה לחוק שעות עבודה ומנוחה.</w:t>
            </w:r>
          </w:p>
        </w:tc>
      </w:tr>
      <w:tr w:rsidR="006F6285" w14:paraId="70A36344" w14:textId="77777777" w:rsidTr="00F95DC8">
        <w:tblPrEx>
          <w:tblLook w:val="01E0" w:firstRow="1" w:lastRow="1" w:firstColumn="1" w:lastColumn="1" w:noHBand="0" w:noVBand="0"/>
        </w:tblPrEx>
        <w:trPr>
          <w:cantSplit/>
          <w:trHeight w:val="60"/>
        </w:trPr>
        <w:tc>
          <w:tcPr>
            <w:tcW w:w="1870" w:type="dxa"/>
          </w:tcPr>
          <w:p w14:paraId="434F1DC2" w14:textId="77777777" w:rsidR="006F6285" w:rsidRDefault="006F6285" w:rsidP="00F95DC8">
            <w:pPr>
              <w:pStyle w:val="TableSideHeading"/>
            </w:pPr>
          </w:p>
        </w:tc>
        <w:tc>
          <w:tcPr>
            <w:tcW w:w="624" w:type="dxa"/>
          </w:tcPr>
          <w:p w14:paraId="4D357D1C" w14:textId="77777777" w:rsidR="006F6285" w:rsidRDefault="006F6285" w:rsidP="00F95DC8">
            <w:pPr>
              <w:pStyle w:val="TableText"/>
            </w:pPr>
          </w:p>
        </w:tc>
        <w:tc>
          <w:tcPr>
            <w:tcW w:w="624" w:type="dxa"/>
          </w:tcPr>
          <w:p w14:paraId="180D68A7" w14:textId="77777777" w:rsidR="006F6285" w:rsidRDefault="006F6285" w:rsidP="00F95DC8">
            <w:pPr>
              <w:pStyle w:val="TableText"/>
            </w:pPr>
            <w:r>
              <w:rPr>
                <w:rFonts w:hint="cs"/>
                <w:rtl/>
              </w:rPr>
              <w:t>(ג)</w:t>
            </w:r>
          </w:p>
        </w:tc>
        <w:tc>
          <w:tcPr>
            <w:tcW w:w="6520" w:type="dxa"/>
          </w:tcPr>
          <w:p w14:paraId="55747B19" w14:textId="77777777" w:rsidR="006F6285" w:rsidRDefault="006F6285" w:rsidP="00F95DC8">
            <w:pPr>
              <w:pStyle w:val="TableBlock"/>
              <w:rPr>
                <w:rtl/>
              </w:rPr>
            </w:pPr>
            <w:r>
              <w:rPr>
                <w:rFonts w:hint="cs"/>
                <w:rtl/>
              </w:rPr>
              <w:t>(1)</w:t>
            </w:r>
            <w:r>
              <w:rPr>
                <w:rtl/>
              </w:rPr>
              <w:tab/>
            </w:r>
            <w:r>
              <w:rPr>
                <w:rFonts w:hint="cs"/>
                <w:rtl/>
              </w:rPr>
              <w:t>אם מתקיימת העסקה בשבת, היא תעשה באופן מצומצם ובמתכונת של תורנות.</w:t>
            </w:r>
          </w:p>
        </w:tc>
      </w:tr>
      <w:tr w:rsidR="006F6285" w14:paraId="18D88F8C" w14:textId="77777777" w:rsidTr="00F95DC8">
        <w:tblPrEx>
          <w:tblLook w:val="01E0" w:firstRow="1" w:lastRow="1" w:firstColumn="1" w:lastColumn="1" w:noHBand="0" w:noVBand="0"/>
        </w:tblPrEx>
        <w:trPr>
          <w:cantSplit/>
          <w:trHeight w:val="60"/>
        </w:trPr>
        <w:tc>
          <w:tcPr>
            <w:tcW w:w="1870" w:type="dxa"/>
          </w:tcPr>
          <w:p w14:paraId="47242B34" w14:textId="77777777" w:rsidR="006F6285" w:rsidRDefault="006F6285" w:rsidP="00F95DC8">
            <w:pPr>
              <w:pStyle w:val="TableSideHeading"/>
            </w:pPr>
          </w:p>
        </w:tc>
        <w:tc>
          <w:tcPr>
            <w:tcW w:w="624" w:type="dxa"/>
          </w:tcPr>
          <w:p w14:paraId="519A3B56" w14:textId="77777777" w:rsidR="006F6285" w:rsidRDefault="006F6285" w:rsidP="00F95DC8">
            <w:pPr>
              <w:pStyle w:val="TableText"/>
            </w:pPr>
          </w:p>
        </w:tc>
        <w:tc>
          <w:tcPr>
            <w:tcW w:w="624" w:type="dxa"/>
          </w:tcPr>
          <w:p w14:paraId="24E33D18" w14:textId="77777777" w:rsidR="006F6285" w:rsidRDefault="006F6285" w:rsidP="00F95DC8">
            <w:pPr>
              <w:pStyle w:val="TableText"/>
              <w:rPr>
                <w:rtl/>
              </w:rPr>
            </w:pPr>
          </w:p>
        </w:tc>
        <w:tc>
          <w:tcPr>
            <w:tcW w:w="6520" w:type="dxa"/>
          </w:tcPr>
          <w:p w14:paraId="3CAB75F2" w14:textId="77777777" w:rsidR="006F6285" w:rsidRDefault="006F6285" w:rsidP="00F95DC8">
            <w:pPr>
              <w:pStyle w:val="TableBlock"/>
              <w:rPr>
                <w:rtl/>
              </w:rPr>
            </w:pPr>
            <w:r>
              <w:rPr>
                <w:rFonts w:hint="cs"/>
                <w:rtl/>
              </w:rPr>
              <w:t>(2)</w:t>
            </w:r>
            <w:r>
              <w:rPr>
                <w:rtl/>
              </w:rPr>
              <w:tab/>
            </w:r>
            <w:r>
              <w:rPr>
                <w:rFonts w:hint="cs"/>
                <w:rtl/>
              </w:rPr>
              <w:t>לעובד המועסק בשבת תובטח הזכות לשבות מעבודה לפחות שבת אחת בכל חודש.</w:t>
            </w:r>
          </w:p>
        </w:tc>
      </w:tr>
      <w:tr w:rsidR="006F6285" w14:paraId="71939BAC" w14:textId="77777777" w:rsidTr="00F95DC8">
        <w:tblPrEx>
          <w:tblLook w:val="01E0" w:firstRow="1" w:lastRow="1" w:firstColumn="1" w:lastColumn="1" w:noHBand="0" w:noVBand="0"/>
        </w:tblPrEx>
        <w:trPr>
          <w:cantSplit/>
          <w:trHeight w:val="60"/>
        </w:trPr>
        <w:tc>
          <w:tcPr>
            <w:tcW w:w="1870" w:type="dxa"/>
          </w:tcPr>
          <w:p w14:paraId="47079E0A" w14:textId="77777777" w:rsidR="006F6285" w:rsidRDefault="006F6285" w:rsidP="00F95DC8">
            <w:pPr>
              <w:pStyle w:val="TableSideHeading"/>
            </w:pPr>
          </w:p>
        </w:tc>
        <w:tc>
          <w:tcPr>
            <w:tcW w:w="624" w:type="dxa"/>
          </w:tcPr>
          <w:p w14:paraId="0A46B79C" w14:textId="77777777" w:rsidR="006F6285" w:rsidRDefault="006F6285" w:rsidP="00F95DC8">
            <w:pPr>
              <w:pStyle w:val="TableText"/>
            </w:pPr>
          </w:p>
        </w:tc>
        <w:tc>
          <w:tcPr>
            <w:tcW w:w="624" w:type="dxa"/>
          </w:tcPr>
          <w:p w14:paraId="55FE8435" w14:textId="77777777" w:rsidR="006F6285" w:rsidRDefault="006F6285" w:rsidP="00F95DC8">
            <w:pPr>
              <w:pStyle w:val="TableText"/>
              <w:rPr>
                <w:rtl/>
              </w:rPr>
            </w:pPr>
          </w:p>
        </w:tc>
        <w:tc>
          <w:tcPr>
            <w:tcW w:w="6520" w:type="dxa"/>
          </w:tcPr>
          <w:p w14:paraId="2022C95C" w14:textId="77777777" w:rsidR="006F6285" w:rsidRDefault="006F6285" w:rsidP="00F95DC8">
            <w:pPr>
              <w:pStyle w:val="TableBlock"/>
              <w:rPr>
                <w:rtl/>
              </w:rPr>
            </w:pPr>
            <w:r>
              <w:rPr>
                <w:rFonts w:hint="cs"/>
                <w:rtl/>
              </w:rPr>
              <w:t>(3)</w:t>
            </w:r>
            <w:r>
              <w:rPr>
                <w:rtl/>
              </w:rPr>
              <w:tab/>
            </w:r>
            <w:r w:rsidRPr="00926B9F">
              <w:rPr>
                <w:color w:val="auto"/>
                <w:sz w:val="26"/>
                <w:rtl/>
              </w:rPr>
              <w:t>במקומות עבודה שיש בהם העסקה גם במסגרת שעות נוספות, תינתן לעוב</w:t>
            </w:r>
            <w:r w:rsidRPr="00926B9F">
              <w:rPr>
                <w:sz w:val="26"/>
                <w:rtl/>
              </w:rPr>
              <w:t>ד שבחר שלא לעבוד בשבת העדפה באפשרות לעבוד</w:t>
            </w:r>
            <w:r>
              <w:rPr>
                <w:sz w:val="26"/>
                <w:rtl/>
              </w:rPr>
              <w:t xml:space="preserve"> שעות נוספות במהלך השבוע</w:t>
            </w:r>
            <w:r>
              <w:rPr>
                <w:rFonts w:hint="cs"/>
                <w:rtl/>
              </w:rPr>
              <w:t>.</w:t>
            </w:r>
          </w:p>
        </w:tc>
      </w:tr>
      <w:tr w:rsidR="006F6285" w14:paraId="37732030" w14:textId="77777777" w:rsidTr="00F95DC8">
        <w:trPr>
          <w:cantSplit/>
        </w:trPr>
        <w:tc>
          <w:tcPr>
            <w:tcW w:w="1870" w:type="dxa"/>
          </w:tcPr>
          <w:p w14:paraId="46C7F9BD" w14:textId="77777777" w:rsidR="006F6285" w:rsidRDefault="006F6285" w:rsidP="00F95DC8">
            <w:pPr>
              <w:pStyle w:val="TableSideHeading"/>
              <w:keepLines w:val="0"/>
            </w:pPr>
          </w:p>
        </w:tc>
        <w:tc>
          <w:tcPr>
            <w:tcW w:w="624" w:type="dxa"/>
          </w:tcPr>
          <w:p w14:paraId="00C4A300" w14:textId="77777777" w:rsidR="006F6285" w:rsidRDefault="006F6285" w:rsidP="00F95DC8">
            <w:pPr>
              <w:pStyle w:val="TableText"/>
              <w:keepLines w:val="0"/>
            </w:pPr>
          </w:p>
        </w:tc>
        <w:tc>
          <w:tcPr>
            <w:tcW w:w="7144" w:type="dxa"/>
            <w:gridSpan w:val="2"/>
          </w:tcPr>
          <w:p w14:paraId="12ADFA97" w14:textId="77777777" w:rsidR="006F6285" w:rsidRDefault="006F6285" w:rsidP="00F95DC8">
            <w:pPr>
              <w:pStyle w:val="TableBlock"/>
              <w:rPr>
                <w:sz w:val="26"/>
                <w:rtl/>
              </w:rPr>
            </w:pPr>
            <w:r>
              <w:rPr>
                <w:sz w:val="26"/>
                <w:rtl/>
              </w:rPr>
              <w:t>(ד)</w:t>
            </w:r>
            <w:r>
              <w:rPr>
                <w:sz w:val="26"/>
                <w:rtl/>
              </w:rPr>
              <w:tab/>
              <w:t xml:space="preserve">על אף האמור בכל דין, ניתן היתר </w:t>
            </w:r>
            <w:r>
              <w:rPr>
                <w:rFonts w:hint="cs"/>
                <w:sz w:val="26"/>
                <w:rtl/>
              </w:rPr>
              <w:t>ל</w:t>
            </w:r>
            <w:r>
              <w:rPr>
                <w:sz w:val="26"/>
                <w:rtl/>
              </w:rPr>
              <w:t>העסק</w:t>
            </w:r>
            <w:r>
              <w:rPr>
                <w:rFonts w:hint="cs"/>
                <w:sz w:val="26"/>
                <w:rtl/>
              </w:rPr>
              <w:t>ת עובד</w:t>
            </w:r>
            <w:r>
              <w:rPr>
                <w:sz w:val="26"/>
                <w:rtl/>
              </w:rPr>
              <w:t xml:space="preserve"> במנוחה השבועית בהתאם לסעיף 12 לחוק שעות עבודה ומנוחה</w:t>
            </w:r>
            <w:r>
              <w:rPr>
                <w:rFonts w:hint="cs"/>
                <w:sz w:val="26"/>
                <w:rtl/>
              </w:rPr>
              <w:t xml:space="preserve"> לשם העסקה בשבת</w:t>
            </w:r>
            <w:r>
              <w:rPr>
                <w:sz w:val="26"/>
                <w:rtl/>
              </w:rPr>
              <w:t xml:space="preserve">, תינתן אפשרות לעבוד </w:t>
            </w:r>
            <w:r>
              <w:rPr>
                <w:rFonts w:hint="cs"/>
                <w:sz w:val="26"/>
                <w:rtl/>
              </w:rPr>
              <w:t xml:space="preserve">גם לעובד שזה יום המנוחה השבועי שלו, </w:t>
            </w:r>
            <w:r>
              <w:rPr>
                <w:sz w:val="26"/>
                <w:rtl/>
              </w:rPr>
              <w:t>ואותו עובד יקבל יום מנוחה שבועי אחר</w:t>
            </w:r>
            <w:r>
              <w:rPr>
                <w:rFonts w:hint="cs"/>
                <w:sz w:val="26"/>
                <w:rtl/>
              </w:rPr>
              <w:t xml:space="preserve"> לפי בחירתו.</w:t>
            </w:r>
          </w:p>
        </w:tc>
      </w:tr>
      <w:tr w:rsidR="006F6285" w14:paraId="0A7CB305" w14:textId="77777777" w:rsidTr="00F95DC8">
        <w:trPr>
          <w:cantSplit/>
        </w:trPr>
        <w:tc>
          <w:tcPr>
            <w:tcW w:w="1870" w:type="dxa"/>
          </w:tcPr>
          <w:p w14:paraId="56A6B2A8" w14:textId="77777777" w:rsidR="006F6285" w:rsidRPr="00662626" w:rsidRDefault="006F6285" w:rsidP="00F95DC8">
            <w:pPr>
              <w:pStyle w:val="TableSideHeading"/>
              <w:ind w:right="0"/>
            </w:pPr>
            <w:r w:rsidRPr="00662626">
              <w:rPr>
                <w:rtl/>
              </w:rPr>
              <w:t>תחולה</w:t>
            </w:r>
            <w:r>
              <w:rPr>
                <w:rFonts w:hint="cs"/>
                <w:rtl/>
              </w:rPr>
              <w:t xml:space="preserve"> על מועדי ישראל</w:t>
            </w:r>
          </w:p>
        </w:tc>
        <w:tc>
          <w:tcPr>
            <w:tcW w:w="624" w:type="dxa"/>
          </w:tcPr>
          <w:p w14:paraId="5420B7B0" w14:textId="77777777" w:rsidR="006F6285" w:rsidRDefault="006F6285" w:rsidP="00F95DC8">
            <w:pPr>
              <w:pStyle w:val="TableText"/>
              <w:keepLines w:val="0"/>
            </w:pPr>
            <w:r>
              <w:rPr>
                <w:rFonts w:hint="cs"/>
                <w:rtl/>
              </w:rPr>
              <w:t>4</w:t>
            </w:r>
            <w:r>
              <w:rPr>
                <w:rtl/>
              </w:rPr>
              <w:t>.</w:t>
            </w:r>
          </w:p>
        </w:tc>
        <w:tc>
          <w:tcPr>
            <w:tcW w:w="7144" w:type="dxa"/>
            <w:gridSpan w:val="2"/>
          </w:tcPr>
          <w:p w14:paraId="0633C0EB" w14:textId="77777777" w:rsidR="006F6285" w:rsidRDefault="006F6285" w:rsidP="00F95DC8">
            <w:pPr>
              <w:pStyle w:val="TableBlock"/>
            </w:pPr>
            <w:r>
              <w:rPr>
                <w:sz w:val="26"/>
                <w:rtl/>
              </w:rPr>
              <w:t>כל האמור בחוק זה</w:t>
            </w:r>
            <w:r>
              <w:rPr>
                <w:rFonts w:hint="cs"/>
                <w:sz w:val="26"/>
                <w:rtl/>
              </w:rPr>
              <w:t xml:space="preserve"> לגבי שבת,</w:t>
            </w:r>
            <w:r>
              <w:rPr>
                <w:sz w:val="26"/>
                <w:rtl/>
              </w:rPr>
              <w:t xml:space="preserve"> יחול גם על מועדי ישראל, כהגדרתם בסעיף 18א </w:t>
            </w:r>
            <w:r>
              <w:rPr>
                <w:rFonts w:hint="cs"/>
                <w:sz w:val="26"/>
                <w:rtl/>
              </w:rPr>
              <w:t>ל</w:t>
            </w:r>
            <w:r>
              <w:rPr>
                <w:sz w:val="26"/>
                <w:rtl/>
              </w:rPr>
              <w:t xml:space="preserve">פקודת סדרי השלטון והמשפט, </w:t>
            </w:r>
            <w:proofErr w:type="spellStart"/>
            <w:r>
              <w:rPr>
                <w:sz w:val="26"/>
                <w:rtl/>
              </w:rPr>
              <w:t>התש"ח</w:t>
            </w:r>
            <w:proofErr w:type="spellEnd"/>
            <w:r>
              <w:rPr>
                <w:sz w:val="26"/>
                <w:rtl/>
              </w:rPr>
              <w:t>–1948</w:t>
            </w:r>
            <w:r>
              <w:rPr>
                <w:rStyle w:val="a6"/>
                <w:sz w:val="26"/>
                <w:rtl/>
              </w:rPr>
              <w:footnoteReference w:id="4"/>
            </w:r>
            <w:r>
              <w:rPr>
                <w:sz w:val="26"/>
                <w:rtl/>
              </w:rPr>
              <w:t xml:space="preserve">. </w:t>
            </w:r>
          </w:p>
        </w:tc>
      </w:tr>
      <w:tr w:rsidR="006F6285" w14:paraId="4AFA8BD2" w14:textId="77777777" w:rsidTr="00F95DC8">
        <w:trPr>
          <w:cantSplit/>
        </w:trPr>
        <w:tc>
          <w:tcPr>
            <w:tcW w:w="1870" w:type="dxa"/>
          </w:tcPr>
          <w:p w14:paraId="6CEC6A68" w14:textId="77777777" w:rsidR="006F6285" w:rsidRPr="00662626" w:rsidRDefault="006F6285" w:rsidP="00F95DC8">
            <w:pPr>
              <w:pStyle w:val="TableSideHeading"/>
              <w:ind w:right="0"/>
            </w:pPr>
            <w:r>
              <w:rPr>
                <w:rFonts w:hint="cs"/>
                <w:rtl/>
              </w:rPr>
              <w:t>שמירת זכויות</w:t>
            </w:r>
          </w:p>
        </w:tc>
        <w:tc>
          <w:tcPr>
            <w:tcW w:w="624" w:type="dxa"/>
          </w:tcPr>
          <w:p w14:paraId="44BAFC56" w14:textId="77777777" w:rsidR="006F6285" w:rsidRDefault="006F6285" w:rsidP="00F95DC8">
            <w:pPr>
              <w:pStyle w:val="TableText"/>
              <w:keepLines w:val="0"/>
            </w:pPr>
            <w:r>
              <w:rPr>
                <w:rFonts w:hint="cs"/>
                <w:rtl/>
              </w:rPr>
              <w:t>5</w:t>
            </w:r>
            <w:r>
              <w:rPr>
                <w:rtl/>
              </w:rPr>
              <w:t xml:space="preserve">. </w:t>
            </w:r>
          </w:p>
        </w:tc>
        <w:tc>
          <w:tcPr>
            <w:tcW w:w="7144" w:type="dxa"/>
            <w:gridSpan w:val="2"/>
          </w:tcPr>
          <w:p w14:paraId="546F4017" w14:textId="77777777" w:rsidR="006F6285" w:rsidRDefault="006F6285" w:rsidP="00F95DC8">
            <w:pPr>
              <w:pStyle w:val="TableBlock"/>
            </w:pPr>
            <w:r>
              <w:rPr>
                <w:sz w:val="26"/>
                <w:rtl/>
              </w:rPr>
              <w:t>חוק זה בא להוסיף על זכות הנתונה לעובד על פי כל דין, הסכם קיבוצי, חוזה עבודה או נוהג.</w:t>
            </w:r>
          </w:p>
        </w:tc>
      </w:tr>
    </w:tbl>
    <w:p w14:paraId="08D2CC7C" w14:textId="77777777" w:rsidR="006F6285" w:rsidRDefault="006F6285" w:rsidP="006F6285">
      <w:pPr>
        <w:pStyle w:val="HeadDivreiHesber"/>
        <w:rPr>
          <w:rtl/>
        </w:rPr>
      </w:pPr>
      <w:r w:rsidRPr="0027450A">
        <w:rPr>
          <w:rFonts w:hint="cs"/>
          <w:rtl/>
        </w:rPr>
        <w:t>דברי הסבר</w:t>
      </w:r>
    </w:p>
    <w:p w14:paraId="19FB78AE" w14:textId="77777777" w:rsidR="006F6285" w:rsidRDefault="006F6285" w:rsidP="00C948F2">
      <w:pPr>
        <w:pStyle w:val="Hesber"/>
        <w:spacing w:line="276" w:lineRule="auto"/>
        <w:rPr>
          <w:rtl/>
        </w:rPr>
      </w:pPr>
      <w:r>
        <w:rPr>
          <w:rFonts w:hint="cs"/>
          <w:rtl/>
        </w:rPr>
        <w:t>השבת היא אחד הערכים המשמעותיים ביותר של העם היהודי, והיא מהווה ערך סוציאלי ראשון במעלה של מתן אפשרות לכל איש ואישה לשבות ביום השביעי יחד עם בני המשפחה. המחלוקות סביב המרחב הציבורי המשותף בשבת רבות ומורכבות, אך היכולת לשבות מעבודה בשבת נמצאת בקונצנזוס רחב בחברה הישראלית.</w:t>
      </w:r>
    </w:p>
    <w:p w14:paraId="5364ACAC" w14:textId="3F26FB90" w:rsidR="006F6285" w:rsidRDefault="006F6285" w:rsidP="00C948F2">
      <w:pPr>
        <w:pStyle w:val="Hesber"/>
        <w:spacing w:line="276" w:lineRule="auto"/>
        <w:rPr>
          <w:rtl/>
        </w:rPr>
      </w:pPr>
      <w:r>
        <w:rPr>
          <w:rFonts w:hint="cs"/>
          <w:rtl/>
        </w:rPr>
        <w:t xml:space="preserve">במכתב ה"סטטוס קוו" הידוע אותו שלח דוד בן-גוריון ונציגי הסוכנות היהודית לאגודת ישראל בשנת </w:t>
      </w:r>
      <w:proofErr w:type="spellStart"/>
      <w:r>
        <w:rPr>
          <w:rFonts w:hint="cs"/>
          <w:rtl/>
        </w:rPr>
        <w:t>התש"ז</w:t>
      </w:r>
      <w:proofErr w:type="spellEnd"/>
      <w:r>
        <w:rPr>
          <w:sz w:val="26"/>
          <w:rtl/>
        </w:rPr>
        <w:t>–</w:t>
      </w:r>
      <w:r>
        <w:rPr>
          <w:rFonts w:hint="cs"/>
          <w:rtl/>
        </w:rPr>
        <w:t xml:space="preserve">1947, נכתב: </w:t>
      </w:r>
      <w:r w:rsidRPr="001D742D">
        <w:rPr>
          <w:rFonts w:hint="cs"/>
          <w:rtl/>
        </w:rPr>
        <w:t xml:space="preserve">"ברור שיום </w:t>
      </w:r>
      <w:r w:rsidRPr="00153739">
        <w:rPr>
          <w:rFonts w:hint="cs"/>
          <w:rtl/>
        </w:rPr>
        <w:t>המנוחה</w:t>
      </w:r>
      <w:r w:rsidRPr="001D742D">
        <w:rPr>
          <w:rFonts w:hint="cs"/>
          <w:rtl/>
        </w:rPr>
        <w:t xml:space="preserve"> החוקי במדינה היהודית יהיה יום השבת, כמובן מתוך רשות לנוצרים ובעלי דת אחרת לשבות ביום החג השבועי שלהם</w:t>
      </w:r>
      <w:r>
        <w:rPr>
          <w:rFonts w:hint="cs"/>
          <w:rtl/>
        </w:rPr>
        <w:t xml:space="preserve">". בהתאם לכך, בחוק שעות עבודה ומנוחה, </w:t>
      </w:r>
      <w:proofErr w:type="spellStart"/>
      <w:r>
        <w:rPr>
          <w:rFonts w:hint="cs"/>
          <w:rtl/>
        </w:rPr>
        <w:t>התשי"א</w:t>
      </w:r>
      <w:proofErr w:type="spellEnd"/>
      <w:r>
        <w:rPr>
          <w:rFonts w:hint="eastAsia"/>
          <w:rtl/>
        </w:rPr>
        <w:t>–</w:t>
      </w:r>
      <w:r>
        <w:rPr>
          <w:rFonts w:hint="cs"/>
          <w:rtl/>
        </w:rPr>
        <w:t xml:space="preserve">1951 (להלן </w:t>
      </w:r>
      <w:r>
        <w:rPr>
          <w:rtl/>
        </w:rPr>
        <w:t>–</w:t>
      </w:r>
      <w:r>
        <w:rPr>
          <w:rFonts w:hint="cs"/>
          <w:rtl/>
        </w:rPr>
        <w:t xml:space="preserve"> חוק שעות עבודה ומנוחה) נקבע יום השבת כ</w:t>
      </w:r>
      <w:r w:rsidR="00CC51F2">
        <w:rPr>
          <w:rFonts w:hint="cs"/>
          <w:rtl/>
        </w:rPr>
        <w:t xml:space="preserve">יום המנוחה השבועי של עובד יהודי </w:t>
      </w:r>
      <w:r>
        <w:rPr>
          <w:rFonts w:hint="cs"/>
          <w:rtl/>
        </w:rPr>
        <w:t xml:space="preserve">אלא אם ניתן היתר כללי-ענפי או היתר פרטני מהשר הממונה </w:t>
      </w:r>
      <w:r>
        <w:rPr>
          <w:rtl/>
        </w:rPr>
        <w:t>–</w:t>
      </w:r>
      <w:r>
        <w:rPr>
          <w:rFonts w:hint="cs"/>
          <w:rtl/>
        </w:rPr>
        <w:t xml:space="preserve"> שר העבודה והרווחה. עד כה ניתנו על ידי שר העבודה והרווחה כ-14 היתרים כלליים המאפשרים להעסיק עובדים בשבת באופן גורף, בין השאר בענפי השמירה, מלונאות, כבאות, מפעלים רפואיים ומוסדות לטיפול בזקנים או בילדים. </w:t>
      </w:r>
    </w:p>
    <w:p w14:paraId="584128C3" w14:textId="77777777" w:rsidR="006F6285" w:rsidRDefault="006F6285" w:rsidP="00C948F2">
      <w:pPr>
        <w:pStyle w:val="Hesber"/>
        <w:spacing w:line="276" w:lineRule="auto"/>
        <w:rPr>
          <w:rtl/>
        </w:rPr>
      </w:pPr>
      <w:r>
        <w:rPr>
          <w:rFonts w:hint="cs"/>
          <w:rtl/>
        </w:rPr>
        <w:t xml:space="preserve"> עם זאת, על פי נתוני הסקר החברתי של הלשכה המרכזית לסטטיסטיקה משנת 2017 מספרם של היהודים העובדים בשבת עומד על כ-400,000 איש, זאת כנראה אף ללא היתר מצד מעסיקיהם ובניגוד לאמור בחוק שעות עבודה ומנוחה.</w:t>
      </w:r>
    </w:p>
    <w:p w14:paraId="56C5985B" w14:textId="0A4E16EA" w:rsidR="006F6285" w:rsidRDefault="006F6285" w:rsidP="00C948F2">
      <w:pPr>
        <w:pStyle w:val="Hesber"/>
        <w:spacing w:line="276" w:lineRule="auto"/>
        <w:rPr>
          <w:rtl/>
        </w:rPr>
      </w:pPr>
      <w:r>
        <w:rPr>
          <w:rFonts w:hint="cs"/>
          <w:rtl/>
        </w:rPr>
        <w:t xml:space="preserve">במדינות שונות בעולם ישנם הסדרים המגבילים העסקת עובדים ביום המנוחה השבועי, אף אם ניתן היתר לכך. בהצעת החוק מוצע הסדר כזה, הקובע כי </w:t>
      </w:r>
      <w:r w:rsidR="007E63F6">
        <w:rPr>
          <w:rFonts w:hint="cs"/>
          <w:rtl/>
        </w:rPr>
        <w:t>ל</w:t>
      </w:r>
      <w:r>
        <w:rPr>
          <w:rFonts w:hint="cs"/>
          <w:rtl/>
        </w:rPr>
        <w:t xml:space="preserve">עובד המועסק בשבת </w:t>
      </w:r>
      <w:r w:rsidR="007E63F6">
        <w:rPr>
          <w:rFonts w:hint="cs"/>
          <w:rtl/>
        </w:rPr>
        <w:t xml:space="preserve">תינתן הזכות לשבות מעבודה לפחות שבת אחת בכל חודש </w:t>
      </w:r>
      <w:r w:rsidRPr="00926B9F">
        <w:rPr>
          <w:rFonts w:hint="cs"/>
          <w:rtl/>
        </w:rPr>
        <w:t xml:space="preserve">(מודל ימי שבתון דומה לשל </w:t>
      </w:r>
      <w:r>
        <w:rPr>
          <w:rFonts w:hint="cs"/>
          <w:rtl/>
        </w:rPr>
        <w:t>מדינות שונות באירופה</w:t>
      </w:r>
      <w:r w:rsidRPr="00926B9F">
        <w:rPr>
          <w:rFonts w:hint="cs"/>
          <w:rtl/>
        </w:rPr>
        <w:t>). בנוסף, הצעת החוק קובעת כי העסקה בשבת תיעשה במתכונת של</w:t>
      </w:r>
      <w:r>
        <w:rPr>
          <w:rFonts w:hint="cs"/>
          <w:rtl/>
        </w:rPr>
        <w:t xml:space="preserve"> תורנות ובאופן מצומצם ככל הניתן. הצעת החוק תאפשר לכל עובד זמן למנוחה עם משפחתו ותחזק את מעמד השבת כיום המנוחה הממלכתי של ישראל והעם היהודי.</w:t>
      </w:r>
    </w:p>
    <w:p w14:paraId="7572BAE4" w14:textId="7890F280" w:rsidR="006F6285" w:rsidRDefault="006F6285" w:rsidP="00C948F2">
      <w:pPr>
        <w:pStyle w:val="Hesber"/>
        <w:spacing w:line="276" w:lineRule="auto"/>
        <w:rPr>
          <w:rtl/>
        </w:rPr>
      </w:pPr>
      <w:r>
        <w:rPr>
          <w:rFonts w:hint="cs"/>
          <w:rtl/>
        </w:rPr>
        <w:t>הצע</w:t>
      </w:r>
      <w:r w:rsidR="00291EA4">
        <w:rPr>
          <w:rFonts w:hint="cs"/>
          <w:rtl/>
        </w:rPr>
        <w:t>ות חוק דומות בעיקרן הונחו</w:t>
      </w:r>
      <w:r>
        <w:rPr>
          <w:rFonts w:hint="cs"/>
          <w:rtl/>
        </w:rPr>
        <w:t xml:space="preserve"> על שולחן הכנסת העשרים ושתיים ועל שולחן הכנסת העשרים ושלוש על ידי חבר הכנסת אלעזר שטרן (</w:t>
      </w:r>
      <w:r w:rsidRPr="00F81334">
        <w:rPr>
          <w:rtl/>
        </w:rPr>
        <w:t>פ/1016/22</w:t>
      </w:r>
      <w:r>
        <w:rPr>
          <w:rFonts w:hint="cs"/>
          <w:rtl/>
        </w:rPr>
        <w:t xml:space="preserve">; </w:t>
      </w:r>
      <w:r>
        <w:rPr>
          <w:rtl/>
        </w:rPr>
        <w:t>פ/686/23</w:t>
      </w:r>
      <w:r>
        <w:rPr>
          <w:rFonts w:hint="cs"/>
          <w:rtl/>
        </w:rPr>
        <w:t>).</w:t>
      </w:r>
    </w:p>
    <w:p w14:paraId="6C910A1E" w14:textId="77777777" w:rsidR="00C948F2" w:rsidRDefault="00C948F2" w:rsidP="00C948F2">
      <w:pPr>
        <w:pStyle w:val="Hesber"/>
        <w:spacing w:line="276" w:lineRule="auto"/>
        <w:ind w:firstLine="0"/>
        <w:rPr>
          <w:color w:val="auto"/>
          <w:rtl/>
          <w:lang w:eastAsia="en-US"/>
        </w:rPr>
      </w:pPr>
    </w:p>
    <w:p w14:paraId="69E58C22" w14:textId="77777777" w:rsidR="00C948F2" w:rsidRPr="00D73212" w:rsidRDefault="00C948F2" w:rsidP="00C948F2">
      <w:pPr>
        <w:pStyle w:val="Hesber"/>
        <w:spacing w:line="276" w:lineRule="auto"/>
        <w:ind w:firstLine="0"/>
        <w:rPr>
          <w:color w:val="auto"/>
          <w:rtl/>
          <w:lang w:eastAsia="en-US"/>
        </w:rPr>
      </w:pPr>
      <w:r w:rsidRPr="00D73212">
        <w:rPr>
          <w:color w:val="auto"/>
          <w:rtl/>
          <w:lang w:eastAsia="en-US"/>
        </w:rPr>
        <w:t>---------------------------------</w:t>
      </w:r>
    </w:p>
    <w:p w14:paraId="263DD263" w14:textId="77777777" w:rsidR="00C948F2" w:rsidRPr="0051670D" w:rsidRDefault="00C948F2" w:rsidP="00C948F2">
      <w:pPr>
        <w:pStyle w:val="Hesber"/>
        <w:spacing w:line="276" w:lineRule="auto"/>
        <w:ind w:firstLine="0"/>
        <w:rPr>
          <w:color w:val="auto"/>
          <w:sz w:val="26"/>
          <w:rtl/>
          <w:lang w:eastAsia="en-US"/>
        </w:rPr>
      </w:pPr>
      <w:r w:rsidRPr="0051670D">
        <w:rPr>
          <w:rFonts w:hint="cs"/>
          <w:color w:val="auto"/>
          <w:sz w:val="26"/>
          <w:rtl/>
          <w:lang w:eastAsia="en-US"/>
        </w:rPr>
        <w:t>הוגשה</w:t>
      </w:r>
      <w:r w:rsidRPr="0051670D">
        <w:rPr>
          <w:color w:val="auto"/>
          <w:sz w:val="26"/>
          <w:rtl/>
          <w:lang w:eastAsia="en-US"/>
        </w:rPr>
        <w:t xml:space="preserve"> </w:t>
      </w:r>
      <w:r w:rsidRPr="0051670D">
        <w:rPr>
          <w:rFonts w:hint="cs"/>
          <w:color w:val="auto"/>
          <w:sz w:val="26"/>
          <w:rtl/>
          <w:lang w:eastAsia="en-US"/>
        </w:rPr>
        <w:t>ליו</w:t>
      </w:r>
      <w:r w:rsidRPr="0051670D">
        <w:rPr>
          <w:color w:val="auto"/>
          <w:sz w:val="26"/>
          <w:rtl/>
          <w:lang w:eastAsia="en-US"/>
        </w:rPr>
        <w:t>"</w:t>
      </w:r>
      <w:r w:rsidRPr="0051670D">
        <w:rPr>
          <w:rFonts w:hint="cs"/>
          <w:color w:val="auto"/>
          <w:sz w:val="26"/>
          <w:rtl/>
          <w:lang w:eastAsia="en-US"/>
        </w:rPr>
        <w:t>ר</w:t>
      </w:r>
      <w:r w:rsidRPr="0051670D">
        <w:rPr>
          <w:color w:val="auto"/>
          <w:sz w:val="26"/>
          <w:rtl/>
          <w:lang w:eastAsia="en-US"/>
        </w:rPr>
        <w:t xml:space="preserve"> </w:t>
      </w:r>
      <w:r w:rsidRPr="0051670D">
        <w:rPr>
          <w:rFonts w:hint="cs"/>
          <w:color w:val="auto"/>
          <w:sz w:val="26"/>
          <w:rtl/>
          <w:lang w:eastAsia="en-US"/>
        </w:rPr>
        <w:t>הכנסת</w:t>
      </w:r>
      <w:r w:rsidRPr="0051670D">
        <w:rPr>
          <w:color w:val="auto"/>
          <w:sz w:val="26"/>
          <w:rtl/>
          <w:lang w:eastAsia="en-US"/>
        </w:rPr>
        <w:t xml:space="preserve"> </w:t>
      </w:r>
      <w:r w:rsidRPr="0051670D">
        <w:rPr>
          <w:rFonts w:hint="cs"/>
          <w:color w:val="auto"/>
          <w:sz w:val="26"/>
          <w:rtl/>
          <w:lang w:eastAsia="en-US"/>
        </w:rPr>
        <w:t>והסגנים</w:t>
      </w:r>
    </w:p>
    <w:p w14:paraId="2CBCF83B" w14:textId="77777777" w:rsidR="00C948F2" w:rsidRPr="0051670D" w:rsidRDefault="00C948F2" w:rsidP="00C948F2">
      <w:pPr>
        <w:pStyle w:val="Hesber"/>
        <w:spacing w:line="276" w:lineRule="auto"/>
        <w:ind w:firstLine="0"/>
        <w:rPr>
          <w:color w:val="auto"/>
          <w:sz w:val="26"/>
          <w:rtl/>
          <w:lang w:eastAsia="en-US"/>
        </w:rPr>
      </w:pPr>
      <w:r w:rsidRPr="0051670D">
        <w:rPr>
          <w:rFonts w:hint="cs"/>
          <w:color w:val="auto"/>
          <w:sz w:val="26"/>
          <w:rtl/>
          <w:lang w:eastAsia="en-US"/>
        </w:rPr>
        <w:t>והונחה</w:t>
      </w:r>
      <w:r w:rsidRPr="0051670D">
        <w:rPr>
          <w:color w:val="auto"/>
          <w:sz w:val="26"/>
          <w:rtl/>
          <w:lang w:eastAsia="en-US"/>
        </w:rPr>
        <w:t xml:space="preserve"> </w:t>
      </w:r>
      <w:r w:rsidRPr="0051670D">
        <w:rPr>
          <w:rFonts w:hint="cs"/>
          <w:color w:val="auto"/>
          <w:sz w:val="26"/>
          <w:rtl/>
          <w:lang w:eastAsia="en-US"/>
        </w:rPr>
        <w:t>על</w:t>
      </w:r>
      <w:r w:rsidRPr="0051670D">
        <w:rPr>
          <w:color w:val="auto"/>
          <w:sz w:val="26"/>
          <w:rtl/>
          <w:lang w:eastAsia="en-US"/>
        </w:rPr>
        <w:t xml:space="preserve"> </w:t>
      </w:r>
      <w:r w:rsidRPr="0051670D">
        <w:rPr>
          <w:rFonts w:hint="cs"/>
          <w:color w:val="auto"/>
          <w:sz w:val="26"/>
          <w:rtl/>
          <w:lang w:eastAsia="en-US"/>
        </w:rPr>
        <w:t>שולחן</w:t>
      </w:r>
      <w:r w:rsidRPr="0051670D">
        <w:rPr>
          <w:color w:val="auto"/>
          <w:sz w:val="26"/>
          <w:rtl/>
          <w:lang w:eastAsia="en-US"/>
        </w:rPr>
        <w:t xml:space="preserve"> </w:t>
      </w:r>
      <w:r w:rsidRPr="0051670D">
        <w:rPr>
          <w:rFonts w:hint="cs"/>
          <w:color w:val="auto"/>
          <w:sz w:val="26"/>
          <w:rtl/>
          <w:lang w:eastAsia="en-US"/>
        </w:rPr>
        <w:t>הכנסת</w:t>
      </w:r>
      <w:r w:rsidRPr="0051670D">
        <w:rPr>
          <w:color w:val="auto"/>
          <w:sz w:val="26"/>
          <w:rtl/>
          <w:lang w:eastAsia="en-US"/>
        </w:rPr>
        <w:t xml:space="preserve"> </w:t>
      </w:r>
      <w:r w:rsidRPr="0051670D">
        <w:rPr>
          <w:rFonts w:hint="cs"/>
          <w:color w:val="auto"/>
          <w:sz w:val="26"/>
          <w:rtl/>
          <w:lang w:eastAsia="en-US"/>
        </w:rPr>
        <w:t>ביום</w:t>
      </w:r>
    </w:p>
    <w:p w14:paraId="688BC839" w14:textId="77777777" w:rsidR="00C948F2" w:rsidRPr="0051670D" w:rsidRDefault="00C948F2" w:rsidP="00C948F2">
      <w:pPr>
        <w:pStyle w:val="Hesber"/>
        <w:spacing w:line="276" w:lineRule="auto"/>
        <w:ind w:firstLine="0"/>
        <w:rPr>
          <w:sz w:val="26"/>
          <w:rtl/>
        </w:rPr>
      </w:pPr>
      <w:r>
        <w:rPr>
          <w:rFonts w:hint="cs"/>
          <w:color w:val="auto"/>
          <w:rtl/>
          <w:lang w:eastAsia="en-US"/>
        </w:rPr>
        <w:t>ח'</w:t>
      </w:r>
      <w:r w:rsidRPr="0051670D">
        <w:rPr>
          <w:rFonts w:hint="cs"/>
          <w:color w:val="auto"/>
          <w:sz w:val="26"/>
          <w:rtl/>
          <w:lang w:eastAsia="en-US"/>
        </w:rPr>
        <w:t xml:space="preserve"> ב</w:t>
      </w:r>
      <w:r>
        <w:rPr>
          <w:rFonts w:hint="cs"/>
          <w:color w:val="auto"/>
          <w:sz w:val="26"/>
          <w:rtl/>
          <w:lang w:eastAsia="en-US"/>
        </w:rPr>
        <w:t>חשוון</w:t>
      </w:r>
      <w:r w:rsidRPr="0051670D">
        <w:rPr>
          <w:rFonts w:hint="cs"/>
          <w:color w:val="auto"/>
          <w:sz w:val="26"/>
          <w:rtl/>
          <w:lang w:eastAsia="en-US"/>
        </w:rPr>
        <w:t xml:space="preserve"> </w:t>
      </w:r>
      <w:proofErr w:type="spellStart"/>
      <w:r w:rsidRPr="0051670D">
        <w:rPr>
          <w:rFonts w:hint="cs"/>
          <w:color w:val="auto"/>
          <w:sz w:val="26"/>
          <w:rtl/>
          <w:lang w:eastAsia="en-US"/>
        </w:rPr>
        <w:t>התש</w:t>
      </w:r>
      <w:r>
        <w:rPr>
          <w:rFonts w:hint="cs"/>
          <w:color w:val="auto"/>
          <w:sz w:val="26"/>
          <w:rtl/>
          <w:lang w:eastAsia="en-US"/>
        </w:rPr>
        <w:t>פ"א</w:t>
      </w:r>
      <w:proofErr w:type="spellEnd"/>
      <w:r w:rsidRPr="0051670D">
        <w:rPr>
          <w:rFonts w:hint="cs"/>
          <w:color w:val="auto"/>
          <w:sz w:val="26"/>
          <w:rtl/>
          <w:lang w:eastAsia="en-US"/>
        </w:rPr>
        <w:t xml:space="preserve"> </w:t>
      </w:r>
      <w:r w:rsidRPr="0051670D">
        <w:rPr>
          <w:color w:val="auto"/>
          <w:sz w:val="26"/>
          <w:rtl/>
          <w:lang w:eastAsia="en-US"/>
        </w:rPr>
        <w:t>–</w:t>
      </w:r>
      <w:r w:rsidRPr="0051670D">
        <w:rPr>
          <w:rFonts w:hint="cs"/>
          <w:color w:val="auto"/>
          <w:sz w:val="26"/>
          <w:rtl/>
          <w:lang w:eastAsia="en-US"/>
        </w:rPr>
        <w:t xml:space="preserve"> </w:t>
      </w:r>
      <w:r>
        <w:rPr>
          <w:rFonts w:hint="cs"/>
          <w:color w:val="auto"/>
          <w:sz w:val="26"/>
          <w:rtl/>
          <w:lang w:eastAsia="en-US"/>
        </w:rPr>
        <w:t>26.10.20</w:t>
      </w:r>
    </w:p>
    <w:p w14:paraId="6FECC8F0" w14:textId="77777777" w:rsidR="00C948F2" w:rsidRPr="00F81334" w:rsidRDefault="00C948F2" w:rsidP="006F6285">
      <w:pPr>
        <w:pStyle w:val="Hesber"/>
        <w:rPr>
          <w:rtl/>
        </w:rPr>
      </w:pPr>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C5137">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280D7ADD" w14:textId="77777777" w:rsidR="006F6285" w:rsidRDefault="006F6285" w:rsidP="006F6285">
      <w:pPr>
        <w:pStyle w:val="a4"/>
      </w:pPr>
      <w:r>
        <w:rPr>
          <w:rStyle w:val="a6"/>
        </w:rPr>
        <w:footnoteRef/>
      </w:r>
      <w:r>
        <w:rPr>
          <w:rtl/>
        </w:rPr>
        <w:t xml:space="preserve"> ס"ח </w:t>
      </w:r>
      <w:proofErr w:type="spellStart"/>
      <w:r>
        <w:rPr>
          <w:rtl/>
        </w:rPr>
        <w:t>התשי"א</w:t>
      </w:r>
      <w:proofErr w:type="spellEnd"/>
      <w:r>
        <w:rPr>
          <w:rtl/>
        </w:rPr>
        <w:t>, עמ' 204.</w:t>
      </w:r>
    </w:p>
  </w:footnote>
  <w:footnote w:id="3">
    <w:p w14:paraId="282F440F" w14:textId="77777777" w:rsidR="006F6285" w:rsidRDefault="006F6285" w:rsidP="006F6285">
      <w:pPr>
        <w:pStyle w:val="a4"/>
      </w:pPr>
      <w:r>
        <w:rPr>
          <w:rStyle w:val="a6"/>
        </w:rPr>
        <w:footnoteRef/>
      </w:r>
      <w:r>
        <w:rPr>
          <w:sz w:val="20"/>
          <w:rtl/>
        </w:rPr>
        <w:t xml:space="preserve"> ס"ח </w:t>
      </w:r>
      <w:proofErr w:type="spellStart"/>
      <w:r>
        <w:rPr>
          <w:sz w:val="20"/>
          <w:rtl/>
        </w:rPr>
        <w:t>התשמ"ח</w:t>
      </w:r>
      <w:proofErr w:type="spellEnd"/>
      <w:r>
        <w:rPr>
          <w:sz w:val="20"/>
          <w:rtl/>
        </w:rPr>
        <w:t>, עמ' 38.</w:t>
      </w:r>
    </w:p>
  </w:footnote>
  <w:footnote w:id="4">
    <w:p w14:paraId="3852A9C6" w14:textId="0839A166" w:rsidR="006F6285" w:rsidRDefault="006F6285" w:rsidP="000B62A3">
      <w:pPr>
        <w:pStyle w:val="a4"/>
      </w:pPr>
      <w:r>
        <w:rPr>
          <w:rStyle w:val="a6"/>
        </w:rPr>
        <w:footnoteRef/>
      </w:r>
      <w:r>
        <w:rPr>
          <w:sz w:val="20"/>
          <w:rtl/>
        </w:rPr>
        <w:t xml:space="preserve"> </w:t>
      </w:r>
      <w:proofErr w:type="spellStart"/>
      <w:r>
        <w:rPr>
          <w:sz w:val="20"/>
          <w:rtl/>
        </w:rPr>
        <w:t>ע"ר</w:t>
      </w:r>
      <w:proofErr w:type="spellEnd"/>
      <w:r>
        <w:rPr>
          <w:sz w:val="20"/>
          <w:rtl/>
        </w:rPr>
        <w:t xml:space="preserve"> 2, </w:t>
      </w:r>
      <w:proofErr w:type="spellStart"/>
      <w:r>
        <w:rPr>
          <w:sz w:val="20"/>
          <w:rtl/>
        </w:rPr>
        <w:t>תוס</w:t>
      </w:r>
      <w:proofErr w:type="spellEnd"/>
      <w:r>
        <w:rPr>
          <w:sz w:val="20"/>
          <w:rtl/>
        </w:rPr>
        <w:t>' א', עמ'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62A3"/>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1EA4"/>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932CF"/>
    <w:rsid w:val="004A06DC"/>
    <w:rsid w:val="004B24ED"/>
    <w:rsid w:val="004B6176"/>
    <w:rsid w:val="004B6625"/>
    <w:rsid w:val="004D2D82"/>
    <w:rsid w:val="004D3876"/>
    <w:rsid w:val="004E4552"/>
    <w:rsid w:val="004E6CDF"/>
    <w:rsid w:val="00504A8F"/>
    <w:rsid w:val="00553C9D"/>
    <w:rsid w:val="00562A66"/>
    <w:rsid w:val="005B064E"/>
    <w:rsid w:val="005D51AE"/>
    <w:rsid w:val="0062674B"/>
    <w:rsid w:val="006363B2"/>
    <w:rsid w:val="00644940"/>
    <w:rsid w:val="006818A9"/>
    <w:rsid w:val="006A2D81"/>
    <w:rsid w:val="006C1D0D"/>
    <w:rsid w:val="006F6285"/>
    <w:rsid w:val="0070601E"/>
    <w:rsid w:val="00712C72"/>
    <w:rsid w:val="00735FE9"/>
    <w:rsid w:val="00763CAA"/>
    <w:rsid w:val="00765F66"/>
    <w:rsid w:val="0078664F"/>
    <w:rsid w:val="007A27CE"/>
    <w:rsid w:val="007C3FA6"/>
    <w:rsid w:val="007D585A"/>
    <w:rsid w:val="007D5A12"/>
    <w:rsid w:val="007E59F9"/>
    <w:rsid w:val="007E63F6"/>
    <w:rsid w:val="00810BCD"/>
    <w:rsid w:val="00812C98"/>
    <w:rsid w:val="00814D92"/>
    <w:rsid w:val="0083181D"/>
    <w:rsid w:val="00843EB2"/>
    <w:rsid w:val="00865572"/>
    <w:rsid w:val="00870DA1"/>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2221"/>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87C63"/>
    <w:rsid w:val="00A942C1"/>
    <w:rsid w:val="00AA2F03"/>
    <w:rsid w:val="00AC36F7"/>
    <w:rsid w:val="00AC63A4"/>
    <w:rsid w:val="00AD239E"/>
    <w:rsid w:val="00B10265"/>
    <w:rsid w:val="00B16A99"/>
    <w:rsid w:val="00B21211"/>
    <w:rsid w:val="00B35784"/>
    <w:rsid w:val="00B5572B"/>
    <w:rsid w:val="00B62957"/>
    <w:rsid w:val="00B733A7"/>
    <w:rsid w:val="00B75C91"/>
    <w:rsid w:val="00B975AD"/>
    <w:rsid w:val="00BB6E05"/>
    <w:rsid w:val="00BC21D9"/>
    <w:rsid w:val="00BC45FB"/>
    <w:rsid w:val="00BC5137"/>
    <w:rsid w:val="00BF148D"/>
    <w:rsid w:val="00C23B1A"/>
    <w:rsid w:val="00C310EB"/>
    <w:rsid w:val="00C9176A"/>
    <w:rsid w:val="00C948F2"/>
    <w:rsid w:val="00CB3A6D"/>
    <w:rsid w:val="00CC51F2"/>
    <w:rsid w:val="00CF1AA2"/>
    <w:rsid w:val="00D142D3"/>
    <w:rsid w:val="00D17774"/>
    <w:rsid w:val="00D5651B"/>
    <w:rsid w:val="00D63620"/>
    <w:rsid w:val="00D66D5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715BA"/>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763A52AD-1A3F-47F3-8B45-0F0EAF45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504A8F"/>
    <w:rPr>
      <w:rFonts w:ascii="Arial" w:eastAsia="Arial Unicode MS" w:hAnsi="Arial" w:cs="David"/>
      <w:snapToGrid w:val="0"/>
      <w:color w:val="000000"/>
      <w:sz w:val="14"/>
      <w:lang w:eastAsia="ja-JP"/>
    </w:rPr>
  </w:style>
  <w:style w:type="character" w:styleId="ae">
    <w:name w:val="annotation reference"/>
    <w:basedOn w:val="a0"/>
    <w:semiHidden/>
    <w:unhideWhenUsed/>
    <w:rsid w:val="006F6285"/>
    <w:rPr>
      <w:sz w:val="16"/>
      <w:szCs w:val="16"/>
    </w:rPr>
  </w:style>
  <w:style w:type="paragraph" w:styleId="af">
    <w:name w:val="annotation text"/>
    <w:basedOn w:val="a"/>
    <w:link w:val="af0"/>
    <w:unhideWhenUsed/>
    <w:rsid w:val="006F6285"/>
    <w:pPr>
      <w:spacing w:line="240" w:lineRule="auto"/>
    </w:pPr>
    <w:rPr>
      <w:sz w:val="20"/>
      <w:szCs w:val="20"/>
    </w:rPr>
  </w:style>
  <w:style w:type="character" w:customStyle="1" w:styleId="af0">
    <w:name w:val="טקסט הערה תו"/>
    <w:basedOn w:val="a0"/>
    <w:link w:val="af"/>
    <w:rsid w:val="006F6285"/>
    <w:rPr>
      <w:rFonts w:ascii="Hadasa Roso SL" w:hAnsi="Hadasa Roso SL" w:cs="Hadasa Roso SL"/>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3D6E9C754E1F7C4C891E9EE2E0AF8150" ma:contentTypeVersion="" ma:contentTypeDescription="צור מסמך חדש." ma:contentTypeScope="" ma:versionID="9191f7e1bb085ece6465964dba42d442">
  <xsd:schema xmlns:xsd="http://www.w3.org/2001/XMLSchema" xmlns:xs="http://www.w3.org/2001/XMLSchema" xmlns:p="http://schemas.microsoft.com/office/2006/metadata/properties" xmlns:ns2="290d5b49-c690-4c6f-bbb9-1e50dab33eee" targetNamespace="http://schemas.microsoft.com/office/2006/metadata/properties" ma:root="true" ma:fieldsID="fb4ed97e084053ed652bcef757b4ab45"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www.w3.org/XML/1998/namespace"/>
    <ds:schemaRef ds:uri="http://purl.org/dc/dcmitype/"/>
  </ds:schemaRefs>
</ds:datastoreItem>
</file>

<file path=customXml/itemProps3.xml><?xml version="1.0" encoding="utf-8"?>
<ds:datastoreItem xmlns:ds="http://schemas.openxmlformats.org/officeDocument/2006/customXml" ds:itemID="{65E20EC0-31B5-452C-8EEE-919A4207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78B17-A722-445A-AD1F-43D74FCF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2829</Characters>
  <Application>Microsoft Office Word</Application>
  <DocSecurity>4</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שגיא אהרון</cp:lastModifiedBy>
  <cp:revision>2</cp:revision>
  <cp:lastPrinted>2020-10-18T08:10:00Z</cp:lastPrinted>
  <dcterms:created xsi:type="dcterms:W3CDTF">2020-10-25T07:29:00Z</dcterms:created>
  <dcterms:modified xsi:type="dcterms:W3CDTF">2020-10-25T07:29:00Z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0x0101003D6E9C754E1F7C4C891E9EE2E0AF8150</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2143360</vt:r8>
  </property>
</Properties>
</file>